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pPr>
      <w:r>
        <w:rPr/>
        <w:drawing>
          <wp:inline distT="0" distB="0" distL="0" distR="0">
            <wp:extent cx="511810" cy="577850"/>
            <wp:effectExtent l="0" t="0" r="0" b="0"/>
            <wp:docPr id="1" name="Рисунок 1" descr="C:\Users\Баглай\Desktop\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Баглай\Desktop\герб.jpg"/>
                    <pic:cNvPicPr>
                      <a:picLocks noChangeAspect="1" noChangeArrowheads="1"/>
                    </pic:cNvPicPr>
                  </pic:nvPicPr>
                  <pic:blipFill>
                    <a:blip r:embed="rId2"/>
                    <a:srcRect l="11087" t="9996" r="10921" b="25212"/>
                    <a:stretch>
                      <a:fillRect/>
                    </a:stretch>
                  </pic:blipFill>
                  <pic:spPr bwMode="auto">
                    <a:xfrm>
                      <a:off x="0" y="0"/>
                      <a:ext cx="511810" cy="577850"/>
                    </a:xfrm>
                    <a:prstGeom prst="rect">
                      <a:avLst/>
                    </a:prstGeom>
                  </pic:spPr>
                </pic:pic>
              </a:graphicData>
            </a:graphic>
          </wp:inline>
        </w:drawing>
      </w:r>
    </w:p>
    <w:p>
      <w:pPr>
        <w:pStyle w:val="Normal"/>
        <w:spacing w:before="0" w:after="0"/>
        <w:contextualSpacing/>
        <w:jc w:val="center"/>
        <w:rPr/>
      </w:pPr>
      <w:r>
        <w:rPr/>
        <w:t>КОНТРОЛЬНО-СЧЕТНЫЙ ОРГАН</w:t>
      </w:r>
    </w:p>
    <w:p>
      <w:pPr>
        <w:pStyle w:val="Normal"/>
        <w:spacing w:before="0" w:after="0"/>
        <w:contextualSpacing/>
        <w:jc w:val="center"/>
        <w:rPr/>
      </w:pPr>
      <w:r>
        <w:rPr/>
        <w:t>МУНИЦИПАЛЬНОГО ОБРАЗОВАНИЯ</w:t>
      </w:r>
    </w:p>
    <w:p>
      <w:pPr>
        <w:pStyle w:val="Normal"/>
        <w:spacing w:before="0" w:after="0"/>
        <w:contextualSpacing/>
        <w:jc w:val="center"/>
        <w:rPr/>
      </w:pPr>
      <w:r>
        <w:rPr/>
        <w:t>«ПОЛТАВСКИЙ МУНИЦИПАЛЬНЫЙ РАЙОН ОМСКОЙ ОБЛАСТИ»</w:t>
      </w:r>
    </w:p>
    <w:p>
      <w:pPr>
        <w:pStyle w:val="Normal"/>
        <w:spacing w:before="0" w:after="0"/>
        <w:contextualSpacing/>
        <w:jc w:val="center"/>
        <w:rPr/>
      </w:pPr>
      <w:r>
        <w:rPr/>
      </w:r>
    </w:p>
    <w:p>
      <w:pPr>
        <w:pStyle w:val="Normal"/>
        <w:spacing w:before="0" w:after="0"/>
        <w:contextualSpacing/>
        <w:jc w:val="both"/>
        <w:rPr/>
      </w:pPr>
      <w:r>
        <w:rPr/>
      </w:r>
    </w:p>
    <w:p>
      <w:pPr>
        <w:pStyle w:val="Normal"/>
        <w:spacing w:before="0" w:after="0"/>
        <w:contextualSpacing/>
        <w:jc w:val="center"/>
        <w:rPr>
          <w:rFonts w:eastAsia="Calibri"/>
          <w:b/>
          <w:b/>
          <w:lang w:eastAsia="en-US"/>
        </w:rPr>
      </w:pPr>
      <w:r>
        <w:rPr>
          <w:rFonts w:eastAsia="Calibri"/>
          <w:b/>
          <w:lang w:eastAsia="en-US"/>
        </w:rPr>
        <w:t>ЗАКЛЮЧЕНИЕ №6</w:t>
      </w:r>
    </w:p>
    <w:p>
      <w:pPr>
        <w:pStyle w:val="Normal"/>
        <w:spacing w:lineRule="auto" w:line="276" w:before="0" w:after="200"/>
        <w:contextualSpacing/>
        <w:jc w:val="center"/>
        <w:rPr>
          <w:rFonts w:eastAsia="Calibri"/>
          <w:b/>
          <w:b/>
          <w:lang w:eastAsia="en-US"/>
        </w:rPr>
      </w:pPr>
      <w:r>
        <w:rPr>
          <w:rFonts w:eastAsia="Calibri"/>
          <w:b/>
          <w:lang w:eastAsia="en-US"/>
        </w:rPr>
        <w:t xml:space="preserve">о результатах экспертно-аналитического мероприятия «Внешняя проверка годового отчета об исполнении бюджета </w:t>
      </w:r>
      <w:r>
        <w:rPr>
          <w:b/>
          <w:color w:val="333333"/>
        </w:rPr>
        <w:t>Соловьев</w:t>
      </w:r>
      <w:r>
        <w:rPr>
          <w:rFonts w:eastAsia="Calibri"/>
          <w:b/>
          <w:lang w:eastAsia="en-US"/>
        </w:rPr>
        <w:t>ского сельского поселения Полтавского муниципального района за 2023 год».</w:t>
      </w:r>
    </w:p>
    <w:p>
      <w:pPr>
        <w:pStyle w:val="Normal"/>
        <w:spacing w:lineRule="auto" w:line="276" w:before="0" w:after="200"/>
        <w:contextualSpacing/>
        <w:jc w:val="right"/>
        <w:rPr>
          <w:rFonts w:eastAsia="Calibri"/>
          <w:lang w:eastAsia="en-US"/>
        </w:rPr>
      </w:pPr>
      <w:r>
        <w:rPr>
          <w:rFonts w:eastAsia="Calibri"/>
          <w:lang w:eastAsia="en-US"/>
        </w:rPr>
        <w:t>11 апреля 2024 г</w:t>
      </w:r>
    </w:p>
    <w:p>
      <w:pPr>
        <w:pStyle w:val="Normal"/>
        <w:ind w:firstLine="709"/>
        <w:jc w:val="both"/>
        <w:rPr/>
      </w:pPr>
      <w:r>
        <w:rPr>
          <w:b/>
          <w:bCs/>
          <w:i/>
          <w:iCs/>
          <w:color w:val="333333"/>
        </w:rPr>
        <w:t>Основание для проведения:</w:t>
      </w:r>
      <w:r>
        <w:rPr>
          <w:color w:val="333333"/>
        </w:rPr>
        <w:t xml:space="preserve"> статья 264.4 Бюджетного кодекса Российской Федерации, статья 21 Положения «О бюджетном процессе в  Соловьевском сельском поселении», утвержденное решением Совета депутатов Соловьевского сельского поселения от 25.03.2022г. №7 (далее-Положение о бюджетном процессе), статья 8 Положения «О Контрольно-счетном органе муниципального образования «Полтавский муниципальный район Омской области», утвержденная решением Совета от 31.01.2022г. №3, пункт 2.10 плана работы Контрольно-счетной органа муниципального образования на 2024 год, Соглашение о передаче полномочий внешнего муниципального финансового контроля от 29.03.2022г №1.</w:t>
      </w:r>
    </w:p>
    <w:p>
      <w:pPr>
        <w:pStyle w:val="Normal"/>
        <w:ind w:firstLine="709"/>
        <w:jc w:val="both"/>
        <w:rPr>
          <w:color w:val="333333"/>
        </w:rPr>
      </w:pPr>
      <w:r>
        <w:rPr>
          <w:b/>
          <w:bCs/>
          <w:i/>
          <w:iCs/>
          <w:color w:val="333333"/>
        </w:rPr>
        <w:t xml:space="preserve">Цель проведения внешней проверки: </w:t>
      </w:r>
      <w:r>
        <w:rPr>
          <w:bCs/>
          <w:iCs/>
          <w:color w:val="333333"/>
        </w:rPr>
        <w:t xml:space="preserve">соответствие годового отчета об исполнении бюджета </w:t>
      </w:r>
      <w:r>
        <w:rPr>
          <w:color w:val="333333"/>
        </w:rPr>
        <w:t>Соловьев</w:t>
      </w:r>
      <w:r>
        <w:rPr>
          <w:bCs/>
          <w:iCs/>
          <w:color w:val="333333"/>
        </w:rPr>
        <w:t>ского сельского поселения требованиям бюджетного законодательства и инструкции «</w:t>
      </w:r>
      <w:r>
        <w:rPr>
          <w:color w:val="333333"/>
        </w:rPr>
        <w:t>о порядке составления и представления годовой, квартальной и месячной отчетности об исполнении бюджетов бюджетной системы Российской Федерации» от 28.12.2010г. №191н.</w:t>
      </w:r>
    </w:p>
    <w:p>
      <w:pPr>
        <w:pStyle w:val="Normal"/>
        <w:ind w:firstLine="709"/>
        <w:jc w:val="both"/>
        <w:rPr>
          <w:color w:val="333333"/>
        </w:rPr>
      </w:pPr>
      <w:r>
        <w:rPr>
          <w:b/>
          <w:bCs/>
          <w:i/>
          <w:iCs/>
          <w:color w:val="333333"/>
        </w:rPr>
        <w:t>Предмет проверки:</w:t>
      </w:r>
      <w:r>
        <w:rPr>
          <w:color w:val="333333"/>
        </w:rPr>
        <w:t xml:space="preserve"> Отчет об исполнении местного бюджета.</w:t>
      </w:r>
    </w:p>
    <w:p>
      <w:pPr>
        <w:pStyle w:val="Normal"/>
        <w:ind w:firstLine="709"/>
        <w:jc w:val="both"/>
        <w:rPr/>
      </w:pPr>
      <w:r>
        <w:rPr>
          <w:b/>
          <w:bCs/>
          <w:i/>
          <w:iCs/>
          <w:color w:val="333333"/>
        </w:rPr>
        <w:t xml:space="preserve">Проверяемый период: </w:t>
      </w:r>
      <w:r>
        <w:rPr>
          <w:color w:val="333333"/>
        </w:rPr>
        <w:t>2023год.</w:t>
      </w:r>
    </w:p>
    <w:p>
      <w:pPr>
        <w:pStyle w:val="Normal"/>
        <w:ind w:firstLine="709"/>
        <w:jc w:val="both"/>
        <w:rPr/>
      </w:pPr>
      <w:r>
        <w:rPr>
          <w:b/>
          <w:bCs/>
          <w:i/>
          <w:iCs/>
          <w:color w:val="333333"/>
        </w:rPr>
        <w:t xml:space="preserve">Объект проверки: </w:t>
      </w:r>
      <w:r>
        <w:rPr>
          <w:color w:val="333333"/>
        </w:rPr>
        <w:t>Соловьевское сельское поселение Полтавского муниципального района.</w:t>
      </w:r>
    </w:p>
    <w:p>
      <w:pPr>
        <w:pStyle w:val="Normal"/>
        <w:ind w:firstLine="709"/>
        <w:jc w:val="both"/>
        <w:rPr>
          <w:color w:val="333333"/>
        </w:rPr>
      </w:pPr>
      <w:r>
        <w:rPr>
          <w:b/>
          <w:bCs/>
          <w:i/>
          <w:iCs/>
          <w:color w:val="333333"/>
        </w:rPr>
        <w:t>Срок проведения проверки:</w:t>
      </w:r>
      <w:r>
        <w:rPr>
          <w:color w:val="333333"/>
        </w:rPr>
        <w:t xml:space="preserve"> с 11.04.2024 г. по 11.04.2024 г.</w:t>
      </w:r>
    </w:p>
    <w:p>
      <w:pPr>
        <w:pStyle w:val="Normal"/>
        <w:ind w:firstLine="709"/>
        <w:jc w:val="both"/>
        <w:rPr>
          <w:rFonts w:eastAsia="Calibri"/>
          <w:lang w:eastAsia="en-US"/>
        </w:rPr>
      </w:pPr>
      <w:r>
        <w:rPr>
          <w:rFonts w:eastAsia="Calibri"/>
          <w:lang w:eastAsia="en-US"/>
        </w:rPr>
      </w:r>
    </w:p>
    <w:p>
      <w:pPr>
        <w:pStyle w:val="Normal"/>
        <w:numPr>
          <w:ilvl w:val="0"/>
          <w:numId w:val="1"/>
        </w:numPr>
        <w:spacing w:lineRule="auto" w:line="276" w:before="0" w:after="200"/>
        <w:ind w:left="0" w:hanging="0"/>
        <w:contextualSpacing/>
        <w:jc w:val="center"/>
        <w:rPr>
          <w:color w:val="auto"/>
        </w:rPr>
      </w:pPr>
      <w:r>
        <w:rPr>
          <w:rFonts w:eastAsia="Calibri"/>
          <w:b/>
          <w:color w:val="auto"/>
          <w:lang w:eastAsia="en-US"/>
        </w:rPr>
        <w:t>Общие положения</w:t>
      </w:r>
    </w:p>
    <w:p>
      <w:pPr>
        <w:pStyle w:val="Normal"/>
        <w:ind w:firstLine="709"/>
        <w:jc w:val="both"/>
        <w:rPr>
          <w:color w:val="auto"/>
        </w:rPr>
      </w:pPr>
      <w:r>
        <w:rPr>
          <w:color w:val="auto"/>
        </w:rPr>
        <w:t xml:space="preserve">Заключение подготовлено на основании результатов проверки годовой бюджетной отчетности за 2023 год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анализа основных показателей исполнения бюджета Администрации </w:t>
      </w:r>
      <w:r>
        <w:rPr>
          <w:color w:val="auto"/>
        </w:rPr>
        <w:t>Соловьев</w:t>
      </w:r>
      <w:r>
        <w:rPr>
          <w:color w:val="auto"/>
        </w:rPr>
        <w:t>ского сельского поселения (Заключение №5 от 10.04.2024г).</w:t>
      </w:r>
    </w:p>
    <w:p>
      <w:pPr>
        <w:pStyle w:val="Normal"/>
        <w:ind w:firstLine="709"/>
        <w:jc w:val="both"/>
        <w:rPr/>
      </w:pPr>
      <w:r>
        <w:rPr/>
        <w:t>Согласно статьи 264.4 БК РФ годовой отчет об исполнении бюджета до его рассмотрения в законодательном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pPr>
        <w:pStyle w:val="Normal"/>
        <w:ind w:firstLine="709"/>
        <w:jc w:val="both"/>
        <w:rPr>
          <w:rFonts w:eastAsia="Calibri"/>
          <w:lang w:eastAsia="en-US"/>
        </w:rPr>
      </w:pPr>
      <w:r>
        <w:rPr>
          <w:rFonts w:eastAsia="Calibri"/>
          <w:lang w:eastAsia="en-US"/>
        </w:rPr>
        <w:t xml:space="preserve">Годовой отчет об исполнении бюджета </w:t>
      </w:r>
      <w:r>
        <w:rPr>
          <w:color w:val="333333"/>
        </w:rPr>
        <w:t>Соловьев</w:t>
      </w:r>
      <w:r>
        <w:rPr>
          <w:rFonts w:eastAsia="Calibri"/>
          <w:lang w:eastAsia="en-US"/>
        </w:rPr>
        <w:t>ского сельского поселения за 2023 год (далее–бюджет поселения) поступил в Контрольно-счетный орган муниципального образования «Полтавский муниципальный район Омской области»  (далее контрольно-счетный орган) в срок до 01 апреля, на бумажном  носителе, согласно п. 3 ст. 264.4 Бюджетного Кодекса Российской Федерации.</w:t>
      </w:r>
    </w:p>
    <w:p>
      <w:pPr>
        <w:pStyle w:val="Normal"/>
        <w:ind w:firstLine="709"/>
        <w:jc w:val="both"/>
        <w:rPr/>
      </w:pPr>
      <w:r>
        <w:rPr/>
        <w:t>Вместе с годовым отчетом об исполнении бюджета представлен проект решения об исполнении бюджета с приложениями, который  соответствует требованиям статьи 264.6 БК РФ.</w:t>
      </w:r>
    </w:p>
    <w:p>
      <w:pPr>
        <w:pStyle w:val="ListParagraph"/>
        <w:widowControl w:val="false"/>
        <w:numPr>
          <w:ilvl w:val="0"/>
          <w:numId w:val="2"/>
        </w:numPr>
        <w:spacing w:lineRule="auto" w:line="240" w:before="0" w:after="0"/>
        <w:ind w:left="0" w:firstLine="709"/>
        <w:contextualSpacing/>
        <w:jc w:val="center"/>
        <w:rPr>
          <w:rFonts w:ascii="Times New Roman" w:hAnsi="Times New Roman"/>
          <w:b/>
          <w:b/>
          <w:sz w:val="24"/>
          <w:szCs w:val="24"/>
        </w:rPr>
      </w:pPr>
      <w:r>
        <w:rPr>
          <w:rFonts w:ascii="Times New Roman" w:hAnsi="Times New Roman"/>
          <w:b/>
          <w:sz w:val="24"/>
          <w:szCs w:val="24"/>
        </w:rPr>
        <w:t xml:space="preserve">Анализ бюджетного процесса в </w:t>
      </w:r>
      <w:r>
        <w:rPr>
          <w:rFonts w:ascii="Times New Roman" w:hAnsi="Times New Roman"/>
          <w:b/>
          <w:color w:val="333333"/>
          <w:sz w:val="24"/>
          <w:szCs w:val="24"/>
        </w:rPr>
        <w:t>Соловье</w:t>
      </w:r>
      <w:r>
        <w:rPr>
          <w:rFonts w:ascii="Times New Roman" w:hAnsi="Times New Roman"/>
          <w:b/>
          <w:color w:val="333333"/>
        </w:rPr>
        <w:t>в</w:t>
      </w:r>
      <w:r>
        <w:rPr>
          <w:rFonts w:ascii="Times New Roman" w:hAnsi="Times New Roman"/>
          <w:b/>
          <w:sz w:val="24"/>
          <w:szCs w:val="24"/>
        </w:rPr>
        <w:t>ском сельском поселении.</w:t>
      </w:r>
    </w:p>
    <w:p>
      <w:pPr>
        <w:pStyle w:val="Normal"/>
        <w:widowControl w:val="false"/>
        <w:ind w:firstLine="709"/>
        <w:jc w:val="both"/>
        <w:rPr/>
      </w:pPr>
      <w:r>
        <w:rPr/>
        <w:t xml:space="preserve">В 2023 году бюджетный процесс в </w:t>
      </w:r>
      <w:r>
        <w:rPr>
          <w:color w:val="333333"/>
        </w:rPr>
        <w:t>Соловьев</w:t>
      </w:r>
      <w:r>
        <w:rPr/>
        <w:t xml:space="preserve">ском сельском поселении осуществлялся в соответствии с БК РФ, Положением о бюджетном процессе, Решением Совета депутатов </w:t>
      </w:r>
      <w:r>
        <w:rPr>
          <w:color w:val="333333"/>
        </w:rPr>
        <w:t>Соловьев</w:t>
      </w:r>
      <w:r>
        <w:rPr/>
        <w:t xml:space="preserve">ского сельского поселения от </w:t>
      </w:r>
      <w:r>
        <w:rPr>
          <w:rFonts w:eastAsia="Calibri"/>
          <w:lang w:eastAsia="en-US"/>
        </w:rPr>
        <w:t>30.11.2022г №52</w:t>
      </w:r>
      <w:r>
        <w:rPr/>
        <w:t xml:space="preserve"> «О бюджете сельского поселения на 2023 год и на плановый период 2024 и 2025 годов» (с учетом внесенных изменений и дополнений).</w:t>
      </w:r>
    </w:p>
    <w:p>
      <w:pPr>
        <w:pStyle w:val="Normal"/>
        <w:widowControl w:val="false"/>
        <w:spacing w:before="0" w:after="0"/>
        <w:ind w:firstLine="709"/>
        <w:contextualSpacing/>
        <w:jc w:val="both"/>
        <w:rPr>
          <w:rFonts w:eastAsia="Calibri"/>
          <w:lang w:eastAsia="en-US"/>
        </w:rPr>
      </w:pPr>
      <w:r>
        <w:rPr>
          <w:rFonts w:eastAsia="Calibri"/>
          <w:lang w:eastAsia="en-US"/>
        </w:rPr>
        <w:t>На основании статьи 219.1 Бюджетного кодекса Российской Федерации  бюджетные росписи главных распорядителей бюджетных средств составляются в соответствии с бюджетными ассигнованиями, утвержденными сводной бюджетной росписью, и утвержденными финансовым органом лимитами бюджетных обязательств.</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 xml:space="preserve">В ходе проверки установлено, что данные сводной бюджетной росписи и лимитов бюджетных обязательств (с учетом внесенных изменений) соответствуют бюджетным назначениям, утвержденным Решением о бюджете на 2023 год. </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r>
    </w:p>
    <w:p>
      <w:pPr>
        <w:pStyle w:val="ListParagraph"/>
        <w:widowControl w:val="false"/>
        <w:numPr>
          <w:ilvl w:val="0"/>
          <w:numId w:val="3"/>
        </w:numPr>
        <w:spacing w:lineRule="auto" w:line="240" w:before="0" w:after="0"/>
        <w:ind w:left="0" w:firstLine="709"/>
        <w:contextualSpacing/>
        <w:jc w:val="center"/>
        <w:rPr>
          <w:rFonts w:ascii="Times New Roman" w:hAnsi="Times New Roman"/>
          <w:b/>
          <w:b/>
          <w:sz w:val="24"/>
          <w:szCs w:val="24"/>
        </w:rPr>
      </w:pPr>
      <w:r>
        <w:rPr>
          <w:rFonts w:ascii="Times New Roman" w:hAnsi="Times New Roman"/>
          <w:b/>
          <w:sz w:val="24"/>
          <w:szCs w:val="24"/>
        </w:rPr>
        <w:t xml:space="preserve">Анализ исполнения основных характеристик бюджета </w:t>
      </w:r>
      <w:r>
        <w:rPr>
          <w:rFonts w:ascii="Times New Roman" w:hAnsi="Times New Roman"/>
          <w:b/>
          <w:color w:val="333333"/>
          <w:sz w:val="24"/>
          <w:szCs w:val="24"/>
        </w:rPr>
        <w:t>Соловье</w:t>
      </w:r>
      <w:r>
        <w:rPr>
          <w:rFonts w:ascii="Times New Roman" w:hAnsi="Times New Roman"/>
          <w:b/>
          <w:sz w:val="24"/>
          <w:szCs w:val="24"/>
        </w:rPr>
        <w:t>вского сельского поселения в 2023 году.</w:t>
      </w:r>
    </w:p>
    <w:p>
      <w:pPr>
        <w:pStyle w:val="Normal"/>
        <w:widowControl w:val="false"/>
        <w:ind w:firstLine="709"/>
        <w:jc w:val="both"/>
        <w:rPr/>
      </w:pPr>
      <w:r>
        <w:rPr/>
        <w:t xml:space="preserve">Решением Совета депутатов </w:t>
      </w:r>
      <w:r>
        <w:rPr>
          <w:color w:val="333333"/>
        </w:rPr>
        <w:t>Соловьев</w:t>
      </w:r>
      <w:r>
        <w:rPr/>
        <w:t>ского сельского поселения от 30</w:t>
      </w:r>
      <w:r>
        <w:rPr>
          <w:rFonts w:eastAsia="Calibri"/>
          <w:lang w:eastAsia="en-US"/>
        </w:rPr>
        <w:t xml:space="preserve">.11.2022г №52 </w:t>
      </w:r>
      <w:r>
        <w:rPr/>
        <w:t>«О бюджете сельского поселения на 2023 год и на плановый период 2024 и 2025 годов» утверждены основные характеристики бюджета на 2023год :</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-Прогнозный общий объем доходов поселения в сумме 10 731 452,82рублей;</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-Общий объем расходов бюджета поселения в сумме 10 731 452,82 рублей.</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В ходе исполнения бюджета поселения параметры бюджета поселения изменены в сторону увеличения по доходам на сумму 8 870 221,79 рублей, в сторону увеличения по расходам на 10 552 286,01 рублей.</w:t>
      </w:r>
    </w:p>
    <w:p>
      <w:pPr>
        <w:pStyle w:val="Normal"/>
        <w:widowControl w:val="false"/>
        <w:ind w:firstLine="709"/>
        <w:jc w:val="both"/>
        <w:rPr/>
      </w:pPr>
      <w:r>
        <w:rPr/>
        <w:t xml:space="preserve">В окончательной редакции с учетом изменений и дополнений, внесенных решениями Совета депутатов </w:t>
      </w:r>
      <w:r>
        <w:rPr>
          <w:color w:val="333333"/>
        </w:rPr>
        <w:t>Соловьев</w:t>
      </w:r>
      <w:r>
        <w:rPr/>
        <w:t>ского сельского поселения от 30</w:t>
      </w:r>
      <w:r>
        <w:rPr>
          <w:rFonts w:eastAsia="Calibri"/>
          <w:lang w:eastAsia="en-US"/>
        </w:rPr>
        <w:t>.11.2022г №52</w:t>
      </w:r>
      <w:r>
        <w:rPr/>
        <w:t xml:space="preserve"> с изменениями  утверждены:</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-Прогнозируемый общий объем доходов бюджета поселения в сумме 19 601 674,61 рублей;</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-Общий объем расходов бюджета поселения в сумме 21 283 738,83 рублей.</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-Прогнозируемый дефицит бюджета поселения -1 682 064,22рублей.</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По данным ф.0503117 проекта решения об исполнении бюджета за 2023год фактическое исполнение бюджета поселения по доходам составило 19 744 106,98 рублей (103,73% уточненного плана), по расходам 20 837 740,83 (97,90% от уточненного плана).</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Основные характеристики бюджета поселения на 2023год отражены в таблице</w:t>
      </w:r>
    </w:p>
    <w:p>
      <w:pPr>
        <w:pStyle w:val="ListParagraph"/>
        <w:widowControl w:val="false"/>
        <w:spacing w:lineRule="auto" w:line="240" w:before="0" w:after="0"/>
        <w:ind w:left="0" w:firstLine="709"/>
        <w:contextualSpacing/>
        <w:jc w:val="right"/>
        <w:rPr>
          <w:rFonts w:ascii="Times New Roman" w:hAnsi="Times New Roman"/>
          <w:sz w:val="24"/>
          <w:szCs w:val="24"/>
        </w:rPr>
      </w:pPr>
      <w:r>
        <w:rPr>
          <w:rFonts w:ascii="Times New Roman" w:hAnsi="Times New Roman"/>
          <w:sz w:val="24"/>
          <w:szCs w:val="24"/>
        </w:rPr>
        <w:t>Таблица 1</w:t>
      </w:r>
    </w:p>
    <w:tbl>
      <w:tblPr>
        <w:tblStyle w:val="af0"/>
        <w:tblW w:w="9570" w:type="dxa"/>
        <w:jc w:val="left"/>
        <w:tblInd w:w="0" w:type="dxa"/>
        <w:tblLayout w:type="fixed"/>
        <w:tblCellMar>
          <w:top w:w="0" w:type="dxa"/>
          <w:left w:w="108" w:type="dxa"/>
          <w:bottom w:w="0" w:type="dxa"/>
          <w:right w:w="108" w:type="dxa"/>
        </w:tblCellMar>
        <w:tblLook w:val="04a0"/>
      </w:tblPr>
      <w:tblGrid>
        <w:gridCol w:w="2396"/>
        <w:gridCol w:w="2389"/>
        <w:gridCol w:w="2396"/>
        <w:gridCol w:w="2388"/>
      </w:tblGrid>
      <w:tr>
        <w:trPr/>
        <w:tc>
          <w:tcPr>
            <w:tcW w:w="2396" w:type="dxa"/>
            <w:tcBorders/>
          </w:tcPr>
          <w:p>
            <w:pPr>
              <w:pStyle w:val="Normal"/>
              <w:widowControl w:val="false"/>
              <w:suppressAutoHyphens w:val="true"/>
              <w:spacing w:lineRule="atLeast" w:line="360" w:before="0" w:after="0"/>
              <w:jc w:val="both"/>
              <w:textAlignment w:val="baseline"/>
              <w:rPr>
                <w:rFonts w:ascii="Times New Roman" w:hAnsi="Times New Roman" w:eastAsia="Times New Roman" w:cs="Times New Roman"/>
                <w:color w:val="auto"/>
                <w:kern w:val="0"/>
                <w:sz w:val="20"/>
                <w:lang w:val="ru-RU" w:eastAsia="ru-RU" w:bidi="ar-SA"/>
              </w:rPr>
            </w:pPr>
            <w:r>
              <w:rPr>
                <w:rFonts w:eastAsia="Times New Roman" w:cs="Times New Roman"/>
                <w:color w:val="auto"/>
                <w:kern w:val="0"/>
                <w:sz w:val="20"/>
                <w:vertAlign w:val="superscript"/>
                <w:lang w:val="ru-RU" w:eastAsia="ru-RU" w:bidi="ar-SA"/>
              </w:rPr>
              <w:t>Наименование показателя</w:t>
            </w:r>
          </w:p>
        </w:tc>
        <w:tc>
          <w:tcPr>
            <w:tcW w:w="2389" w:type="dxa"/>
            <w:tcBorders/>
          </w:tcPr>
          <w:p>
            <w:pPr>
              <w:pStyle w:val="Normal"/>
              <w:widowControl w:val="false"/>
              <w:suppressAutoHyphens w:val="true"/>
              <w:spacing w:lineRule="atLeast" w:line="360" w:before="0" w:after="0"/>
              <w:jc w:val="both"/>
              <w:textAlignment w:val="baseline"/>
              <w:rPr>
                <w:rFonts w:ascii="Times New Roman" w:hAnsi="Times New Roman" w:eastAsia="Times New Roman" w:cs="Times New Roman"/>
                <w:color w:val="auto"/>
                <w:kern w:val="0"/>
                <w:sz w:val="20"/>
                <w:lang w:val="ru-RU" w:eastAsia="ru-RU" w:bidi="ar-SA"/>
              </w:rPr>
            </w:pPr>
            <w:r>
              <w:rPr>
                <w:rFonts w:eastAsia="Times New Roman" w:cs="Times New Roman"/>
                <w:color w:val="auto"/>
                <w:kern w:val="0"/>
                <w:sz w:val="20"/>
                <w:vertAlign w:val="superscript"/>
                <w:lang w:val="ru-RU" w:eastAsia="ru-RU" w:bidi="ar-SA"/>
              </w:rPr>
              <w:t>Утверждено Решением о бюджете на 2023 год (в редакции от 28.12.2023 №60), рублей</w:t>
            </w:r>
          </w:p>
        </w:tc>
        <w:tc>
          <w:tcPr>
            <w:tcW w:w="2396" w:type="dxa"/>
            <w:tcBorders/>
          </w:tcPr>
          <w:p>
            <w:pPr>
              <w:pStyle w:val="Normal"/>
              <w:widowControl w:val="false"/>
              <w:suppressAutoHyphens w:val="true"/>
              <w:spacing w:lineRule="atLeast" w:line="360" w:before="0" w:after="0"/>
              <w:jc w:val="both"/>
              <w:textAlignment w:val="baseline"/>
              <w:rPr>
                <w:rFonts w:ascii="Times New Roman" w:hAnsi="Times New Roman" w:eastAsia="Times New Roman" w:cs="Times New Roman"/>
                <w:color w:val="auto"/>
                <w:kern w:val="0"/>
                <w:sz w:val="20"/>
                <w:lang w:val="ru-RU" w:eastAsia="ru-RU" w:bidi="ar-SA"/>
              </w:rPr>
            </w:pPr>
            <w:r>
              <w:rPr>
                <w:rFonts w:eastAsia="Times New Roman" w:cs="Times New Roman"/>
                <w:color w:val="auto"/>
                <w:kern w:val="0"/>
                <w:sz w:val="20"/>
                <w:vertAlign w:val="superscript"/>
                <w:lang w:val="ru-RU" w:eastAsia="ru-RU" w:bidi="ar-SA"/>
              </w:rPr>
              <w:t>Исполнено,</w:t>
            </w:r>
          </w:p>
          <w:p>
            <w:pPr>
              <w:pStyle w:val="Normal"/>
              <w:widowControl w:val="false"/>
              <w:suppressAutoHyphens w:val="true"/>
              <w:spacing w:lineRule="atLeast" w:line="360" w:before="0" w:after="0"/>
              <w:jc w:val="both"/>
              <w:textAlignment w:val="baseline"/>
              <w:rPr>
                <w:rFonts w:ascii="Times New Roman" w:hAnsi="Times New Roman" w:eastAsia="Times New Roman" w:cs="Times New Roman"/>
                <w:color w:val="auto"/>
                <w:kern w:val="0"/>
                <w:sz w:val="20"/>
                <w:lang w:val="ru-RU" w:eastAsia="ru-RU" w:bidi="ar-SA"/>
              </w:rPr>
            </w:pPr>
            <w:r>
              <w:rPr>
                <w:rFonts w:eastAsia="Times New Roman" w:cs="Times New Roman"/>
                <w:color w:val="auto"/>
                <w:kern w:val="0"/>
                <w:sz w:val="20"/>
                <w:vertAlign w:val="superscript"/>
                <w:lang w:val="ru-RU" w:eastAsia="ru-RU" w:bidi="ar-SA"/>
              </w:rPr>
              <w:t>Проект решения об исполнении бюджета за 2023 год</w:t>
            </w:r>
          </w:p>
        </w:tc>
        <w:tc>
          <w:tcPr>
            <w:tcW w:w="2388" w:type="dxa"/>
            <w:tcBorders/>
          </w:tcPr>
          <w:p>
            <w:pPr>
              <w:pStyle w:val="Normal"/>
              <w:widowControl w:val="false"/>
              <w:suppressAutoHyphens w:val="true"/>
              <w:spacing w:lineRule="atLeast" w:line="360" w:before="0" w:after="0"/>
              <w:jc w:val="both"/>
              <w:textAlignment w:val="baseline"/>
              <w:rPr>
                <w:rFonts w:ascii="Times New Roman" w:hAnsi="Times New Roman" w:eastAsia="Times New Roman" w:cs="Times New Roman"/>
                <w:color w:val="auto"/>
                <w:kern w:val="0"/>
                <w:sz w:val="20"/>
                <w:lang w:val="ru-RU" w:eastAsia="ru-RU" w:bidi="ar-SA"/>
              </w:rPr>
            </w:pPr>
            <w:r>
              <w:rPr>
                <w:rFonts w:eastAsia="Times New Roman" w:cs="Times New Roman"/>
                <w:color w:val="auto"/>
                <w:kern w:val="0"/>
                <w:sz w:val="20"/>
                <w:vertAlign w:val="superscript"/>
                <w:lang w:val="ru-RU" w:eastAsia="ru-RU" w:bidi="ar-SA"/>
              </w:rPr>
              <w:t>Процент исполнения , %</w:t>
            </w:r>
          </w:p>
        </w:tc>
      </w:tr>
      <w:tr>
        <w:trPr/>
        <w:tc>
          <w:tcPr>
            <w:tcW w:w="2396" w:type="dxa"/>
            <w:tcBorders/>
          </w:tcPr>
          <w:p>
            <w:pPr>
              <w:pStyle w:val="Normal"/>
              <w:widowControl w:val="false"/>
              <w:suppressAutoHyphens w:val="true"/>
              <w:spacing w:lineRule="atLeast" w:line="360" w:before="0" w:after="0"/>
              <w:jc w:val="both"/>
              <w:textAlignment w:val="baseline"/>
              <w:rPr>
                <w:b/>
                <w:b/>
                <w:color w:val="444444"/>
                <w:vertAlign w:val="superscript"/>
              </w:rPr>
            </w:pPr>
            <w:r>
              <w:rPr>
                <w:rFonts w:eastAsia="Times New Roman" w:cs="Times New Roman"/>
                <w:b/>
                <w:color w:val="444444"/>
                <w:kern w:val="0"/>
                <w:sz w:val="20"/>
                <w:vertAlign w:val="superscript"/>
                <w:lang w:val="ru-RU" w:eastAsia="ru-RU" w:bidi="ar-SA"/>
              </w:rPr>
              <w:t>Доходы</w:t>
            </w:r>
          </w:p>
        </w:tc>
        <w:tc>
          <w:tcPr>
            <w:tcW w:w="2389" w:type="dxa"/>
            <w:tcBorders/>
          </w:tcPr>
          <w:p>
            <w:pPr>
              <w:pStyle w:val="Normal"/>
              <w:widowControl w:val="false"/>
              <w:suppressAutoHyphens w:val="true"/>
              <w:spacing w:lineRule="atLeast" w:line="360" w:before="0" w:after="0"/>
              <w:jc w:val="both"/>
              <w:textAlignment w:val="baseline"/>
              <w:rPr>
                <w:b/>
                <w:b/>
                <w:color w:val="444444"/>
                <w:vertAlign w:val="superscript"/>
              </w:rPr>
            </w:pPr>
            <w:r>
              <w:rPr>
                <w:rFonts w:eastAsia="Times New Roman" w:cs="Times New Roman"/>
                <w:b/>
                <w:color w:val="444444"/>
                <w:kern w:val="0"/>
                <w:sz w:val="20"/>
                <w:vertAlign w:val="superscript"/>
                <w:lang w:val="ru-RU" w:eastAsia="ru-RU" w:bidi="ar-SA"/>
              </w:rPr>
              <w:t>19 601 674,61</w:t>
            </w:r>
          </w:p>
        </w:tc>
        <w:tc>
          <w:tcPr>
            <w:tcW w:w="2396" w:type="dxa"/>
            <w:tcBorders/>
          </w:tcPr>
          <w:p>
            <w:pPr>
              <w:pStyle w:val="Normal"/>
              <w:widowControl w:val="false"/>
              <w:suppressAutoHyphens w:val="true"/>
              <w:spacing w:lineRule="atLeast" w:line="360" w:before="0" w:after="0"/>
              <w:jc w:val="both"/>
              <w:textAlignment w:val="baseline"/>
              <w:rPr>
                <w:b/>
                <w:b/>
                <w:color w:val="444444"/>
                <w:vertAlign w:val="superscript"/>
              </w:rPr>
            </w:pPr>
            <w:r>
              <w:rPr>
                <w:rFonts w:eastAsia="Times New Roman" w:cs="Times New Roman"/>
                <w:b/>
                <w:color w:val="444444"/>
                <w:kern w:val="0"/>
                <w:sz w:val="20"/>
                <w:vertAlign w:val="superscript"/>
                <w:lang w:val="ru-RU" w:eastAsia="ru-RU" w:bidi="ar-SA"/>
              </w:rPr>
              <w:t>19 744 106,98</w:t>
            </w:r>
          </w:p>
        </w:tc>
        <w:tc>
          <w:tcPr>
            <w:tcW w:w="2388" w:type="dxa"/>
            <w:tcBorders/>
          </w:tcPr>
          <w:p>
            <w:pPr>
              <w:pStyle w:val="Normal"/>
              <w:widowControl w:val="false"/>
              <w:suppressAutoHyphens w:val="true"/>
              <w:spacing w:lineRule="atLeast" w:line="360" w:before="0" w:after="0"/>
              <w:jc w:val="both"/>
              <w:textAlignment w:val="baseline"/>
              <w:rPr>
                <w:b/>
                <w:b/>
                <w:color w:val="444444"/>
                <w:vertAlign w:val="superscript"/>
              </w:rPr>
            </w:pPr>
            <w:r>
              <w:rPr>
                <w:rFonts w:eastAsia="Times New Roman" w:cs="Times New Roman"/>
                <w:b/>
                <w:color w:val="444444"/>
                <w:kern w:val="0"/>
                <w:sz w:val="20"/>
                <w:vertAlign w:val="superscript"/>
                <w:lang w:val="ru-RU" w:eastAsia="ru-RU" w:bidi="ar-SA"/>
              </w:rPr>
              <w:t>100,73</w:t>
            </w:r>
          </w:p>
        </w:tc>
      </w:tr>
      <w:tr>
        <w:trPr/>
        <w:tc>
          <w:tcPr>
            <w:tcW w:w="2396" w:type="dxa"/>
            <w:tcBorders/>
          </w:tcPr>
          <w:p>
            <w:pPr>
              <w:pStyle w:val="Normal"/>
              <w:widowControl w:val="false"/>
              <w:suppressAutoHyphens w:val="true"/>
              <w:spacing w:lineRule="atLeast" w:line="360" w:before="0" w:after="0"/>
              <w:jc w:val="both"/>
              <w:textAlignment w:val="baseline"/>
              <w:rPr>
                <w:b/>
                <w:b/>
                <w:color w:val="444444"/>
                <w:vertAlign w:val="superscript"/>
              </w:rPr>
            </w:pPr>
            <w:r>
              <w:rPr>
                <w:rFonts w:eastAsia="Times New Roman" w:cs="Times New Roman"/>
                <w:b/>
                <w:color w:val="444444"/>
                <w:kern w:val="0"/>
                <w:sz w:val="20"/>
                <w:vertAlign w:val="superscript"/>
                <w:lang w:val="ru-RU" w:eastAsia="ru-RU" w:bidi="ar-SA"/>
              </w:rPr>
              <w:t>Расходы</w:t>
            </w:r>
          </w:p>
        </w:tc>
        <w:tc>
          <w:tcPr>
            <w:tcW w:w="2389" w:type="dxa"/>
            <w:tcBorders/>
          </w:tcPr>
          <w:p>
            <w:pPr>
              <w:pStyle w:val="Normal"/>
              <w:widowControl w:val="false"/>
              <w:suppressAutoHyphens w:val="true"/>
              <w:spacing w:lineRule="atLeast" w:line="360" w:before="0" w:after="0"/>
              <w:jc w:val="both"/>
              <w:textAlignment w:val="baseline"/>
              <w:rPr>
                <w:b/>
                <w:b/>
                <w:color w:val="444444"/>
                <w:vertAlign w:val="superscript"/>
              </w:rPr>
            </w:pPr>
            <w:r>
              <w:rPr>
                <w:rFonts w:eastAsia="Times New Roman" w:cs="Times New Roman"/>
                <w:b/>
                <w:color w:val="444444"/>
                <w:kern w:val="0"/>
                <w:sz w:val="20"/>
                <w:vertAlign w:val="superscript"/>
                <w:lang w:val="ru-RU" w:eastAsia="ru-RU" w:bidi="ar-SA"/>
              </w:rPr>
              <w:t>21 283 738,83</w:t>
            </w:r>
          </w:p>
        </w:tc>
        <w:tc>
          <w:tcPr>
            <w:tcW w:w="2396" w:type="dxa"/>
            <w:tcBorders/>
          </w:tcPr>
          <w:p>
            <w:pPr>
              <w:pStyle w:val="Normal"/>
              <w:widowControl w:val="false"/>
              <w:suppressAutoHyphens w:val="true"/>
              <w:spacing w:lineRule="atLeast" w:line="360" w:before="0" w:after="0"/>
              <w:jc w:val="both"/>
              <w:textAlignment w:val="baseline"/>
              <w:rPr>
                <w:b/>
                <w:b/>
                <w:color w:val="444444"/>
                <w:vertAlign w:val="superscript"/>
              </w:rPr>
            </w:pPr>
            <w:r>
              <w:rPr>
                <w:rFonts w:eastAsia="Times New Roman" w:cs="Times New Roman"/>
                <w:b/>
                <w:color w:val="444444"/>
                <w:kern w:val="0"/>
                <w:sz w:val="20"/>
                <w:vertAlign w:val="superscript"/>
                <w:lang w:val="ru-RU" w:eastAsia="ru-RU" w:bidi="ar-SA"/>
              </w:rPr>
              <w:t>20 837 740,83</w:t>
            </w:r>
          </w:p>
        </w:tc>
        <w:tc>
          <w:tcPr>
            <w:tcW w:w="2388" w:type="dxa"/>
            <w:tcBorders/>
          </w:tcPr>
          <w:p>
            <w:pPr>
              <w:pStyle w:val="Normal"/>
              <w:widowControl w:val="false"/>
              <w:suppressAutoHyphens w:val="true"/>
              <w:spacing w:lineRule="atLeast" w:line="360" w:before="0" w:after="0"/>
              <w:jc w:val="both"/>
              <w:textAlignment w:val="baseline"/>
              <w:rPr>
                <w:b/>
                <w:b/>
                <w:color w:val="444444"/>
                <w:vertAlign w:val="superscript"/>
              </w:rPr>
            </w:pPr>
            <w:r>
              <w:rPr>
                <w:rFonts w:eastAsia="Times New Roman" w:cs="Times New Roman"/>
                <w:b/>
                <w:color w:val="444444"/>
                <w:kern w:val="0"/>
                <w:sz w:val="20"/>
                <w:vertAlign w:val="superscript"/>
                <w:lang w:val="ru-RU" w:eastAsia="ru-RU" w:bidi="ar-SA"/>
              </w:rPr>
              <w:t>97,90</w:t>
            </w:r>
          </w:p>
        </w:tc>
      </w:tr>
      <w:tr>
        <w:trPr/>
        <w:tc>
          <w:tcPr>
            <w:tcW w:w="2396" w:type="dxa"/>
            <w:tcBorders/>
          </w:tcPr>
          <w:p>
            <w:pPr>
              <w:pStyle w:val="Normal"/>
              <w:widowControl w:val="false"/>
              <w:suppressAutoHyphens w:val="true"/>
              <w:spacing w:lineRule="atLeast" w:line="360" w:before="0" w:after="0"/>
              <w:jc w:val="both"/>
              <w:textAlignment w:val="baseline"/>
              <w:rPr>
                <w:b/>
                <w:b/>
                <w:color w:val="444444"/>
                <w:vertAlign w:val="superscript"/>
              </w:rPr>
            </w:pPr>
            <w:r>
              <w:rPr>
                <w:rFonts w:eastAsia="Times New Roman" w:cs="Times New Roman"/>
                <w:b/>
                <w:color w:val="444444"/>
                <w:kern w:val="0"/>
                <w:sz w:val="20"/>
                <w:vertAlign w:val="superscript"/>
                <w:lang w:val="ru-RU" w:eastAsia="ru-RU" w:bidi="ar-SA"/>
              </w:rPr>
              <w:t>Дефицит (-)/ профицит (+)</w:t>
            </w:r>
          </w:p>
        </w:tc>
        <w:tc>
          <w:tcPr>
            <w:tcW w:w="2389" w:type="dxa"/>
            <w:tcBorders/>
          </w:tcPr>
          <w:p>
            <w:pPr>
              <w:pStyle w:val="Normal"/>
              <w:widowControl w:val="false"/>
              <w:suppressAutoHyphens w:val="true"/>
              <w:spacing w:lineRule="atLeast" w:line="360" w:before="0" w:after="0"/>
              <w:jc w:val="both"/>
              <w:textAlignment w:val="baseline"/>
              <w:rPr>
                <w:b/>
                <w:b/>
                <w:color w:val="444444"/>
                <w:vertAlign w:val="superscript"/>
              </w:rPr>
            </w:pPr>
            <w:r>
              <w:rPr>
                <w:rFonts w:eastAsia="Times New Roman" w:cs="Times New Roman"/>
                <w:b/>
                <w:color w:val="444444"/>
                <w:kern w:val="0"/>
                <w:sz w:val="20"/>
                <w:vertAlign w:val="superscript"/>
                <w:lang w:val="ru-RU" w:eastAsia="ru-RU" w:bidi="ar-SA"/>
              </w:rPr>
              <w:t>1 682 064,22</w:t>
            </w:r>
          </w:p>
        </w:tc>
        <w:tc>
          <w:tcPr>
            <w:tcW w:w="2396" w:type="dxa"/>
            <w:tcBorders/>
          </w:tcPr>
          <w:p>
            <w:pPr>
              <w:pStyle w:val="Normal"/>
              <w:widowControl w:val="false"/>
              <w:suppressAutoHyphens w:val="true"/>
              <w:spacing w:lineRule="atLeast" w:line="360" w:before="0" w:after="0"/>
              <w:jc w:val="both"/>
              <w:textAlignment w:val="baseline"/>
              <w:rPr>
                <w:b/>
                <w:b/>
                <w:color w:val="444444"/>
                <w:vertAlign w:val="superscript"/>
              </w:rPr>
            </w:pPr>
            <w:r>
              <w:rPr>
                <w:rFonts w:eastAsia="Times New Roman" w:cs="Times New Roman"/>
                <w:b/>
                <w:color w:val="444444"/>
                <w:kern w:val="0"/>
                <w:sz w:val="20"/>
                <w:vertAlign w:val="superscript"/>
                <w:lang w:val="ru-RU" w:eastAsia="ru-RU" w:bidi="ar-SA"/>
              </w:rPr>
              <w:t>1 093 633,85</w:t>
            </w:r>
          </w:p>
        </w:tc>
        <w:tc>
          <w:tcPr>
            <w:tcW w:w="2388" w:type="dxa"/>
            <w:tcBorders/>
          </w:tcPr>
          <w:p>
            <w:pPr>
              <w:pStyle w:val="Normal"/>
              <w:widowControl w:val="false"/>
              <w:suppressAutoHyphens w:val="true"/>
              <w:spacing w:lineRule="atLeast" w:line="360" w:before="0" w:after="0"/>
              <w:jc w:val="both"/>
              <w:textAlignment w:val="baseline"/>
              <w:rPr>
                <w:b/>
                <w:b/>
                <w:color w:val="444444"/>
                <w:vertAlign w:val="superscript"/>
              </w:rPr>
            </w:pPr>
            <w:r>
              <w:rPr>
                <w:rFonts w:eastAsia="Times New Roman" w:cs="Times New Roman"/>
                <w:b/>
                <w:color w:val="444444"/>
                <w:kern w:val="0"/>
                <w:sz w:val="20"/>
                <w:vertAlign w:val="superscript"/>
                <w:lang w:val="ru-RU" w:eastAsia="ru-RU" w:bidi="ar-SA"/>
              </w:rPr>
              <w:t>Х</w:t>
            </w:r>
          </w:p>
        </w:tc>
      </w:tr>
    </w:tbl>
    <w:p>
      <w:pPr>
        <w:pStyle w:val="ListParagraph"/>
        <w:widowControl w:val="false"/>
        <w:numPr>
          <w:ilvl w:val="0"/>
          <w:numId w:val="0"/>
        </w:numPr>
        <w:spacing w:lineRule="auto" w:line="240" w:before="0" w:after="0"/>
        <w:ind w:left="0" w:hanging="0"/>
        <w:contextualSpacing/>
        <w:jc w:val="center"/>
        <w:rPr>
          <w:rFonts w:ascii="Times New Roman" w:hAnsi="Times New Roman"/>
          <w:b/>
          <w:b/>
          <w:sz w:val="24"/>
          <w:szCs w:val="24"/>
        </w:rPr>
      </w:pPr>
      <w:r>
        <w:rPr>
          <w:rFonts w:ascii="Times New Roman" w:hAnsi="Times New Roman"/>
          <w:b/>
          <w:sz w:val="24"/>
          <w:szCs w:val="24"/>
        </w:rPr>
        <w:t>4.Исполнение доходной части бюджета поселения за 2023год.</w:t>
      </w:r>
    </w:p>
    <w:p>
      <w:pPr>
        <w:pStyle w:val="Normal"/>
        <w:widowControl w:val="false"/>
        <w:ind w:firstLine="709"/>
        <w:jc w:val="both"/>
        <w:rPr/>
      </w:pPr>
      <w:r>
        <w:rPr/>
        <w:t>Доходная часть бюджета состоит из поступлений налоговых и неналоговых доходов 37,19% от общего объема доходов и безвозмездных поступлений 62,81%.</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Исполнение и структура доходной части бюджета за 2023год по основным источникам поступлений представлена в таблице:</w:t>
      </w:r>
    </w:p>
    <w:p>
      <w:pPr>
        <w:pStyle w:val="ListParagraph"/>
        <w:widowControl w:val="false"/>
        <w:ind w:left="927" w:right="-1" w:hanging="0"/>
        <w:jc w:val="right"/>
        <w:rPr>
          <w:sz w:val="20"/>
          <w:szCs w:val="20"/>
        </w:rPr>
      </w:pPr>
      <w:r>
        <w:rPr>
          <w:rFonts w:ascii="Times New Roman" w:hAnsi="Times New Roman"/>
          <w:sz w:val="20"/>
          <w:szCs w:val="20"/>
        </w:rPr>
        <w:t>Таблица 2.</w:t>
      </w:r>
    </w:p>
    <w:tbl>
      <w:tblPr>
        <w:tblStyle w:val="af0"/>
        <w:tblW w:w="9519" w:type="dxa"/>
        <w:jc w:val="left"/>
        <w:tblInd w:w="51" w:type="dxa"/>
        <w:tblLayout w:type="fixed"/>
        <w:tblCellMar>
          <w:top w:w="0" w:type="dxa"/>
          <w:left w:w="108" w:type="dxa"/>
          <w:bottom w:w="0" w:type="dxa"/>
          <w:right w:w="108" w:type="dxa"/>
        </w:tblCellMar>
        <w:tblLook w:val="04a0"/>
      </w:tblPr>
      <w:tblGrid>
        <w:gridCol w:w="3425"/>
        <w:gridCol w:w="1562"/>
        <w:gridCol w:w="1563"/>
        <w:gridCol w:w="1585"/>
        <w:gridCol w:w="1384"/>
      </w:tblGrid>
      <w:tr>
        <w:trPr/>
        <w:tc>
          <w:tcPr>
            <w:tcW w:w="342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Наименование показателя</w:t>
            </w:r>
          </w:p>
        </w:tc>
        <w:tc>
          <w:tcPr>
            <w:tcW w:w="1562" w:type="dxa"/>
            <w:tcBorders/>
          </w:tcPr>
          <w:p>
            <w:pPr>
              <w:pStyle w:val="Normal"/>
              <w:widowControl w:val="false"/>
              <w:suppressAutoHyphens w:val="true"/>
              <w:spacing w:lineRule="atLeast" w:line="360" w:before="0" w:after="0"/>
              <w:jc w:val="both"/>
              <w:textAlignment w:val="baseline"/>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color w:val="auto"/>
                <w:kern w:val="0"/>
                <w:sz w:val="24"/>
                <w:szCs w:val="24"/>
                <w:vertAlign w:val="subscript"/>
                <w:lang w:val="ru-RU" w:eastAsia="ru-RU" w:bidi="ar-SA"/>
              </w:rPr>
              <w:t>Утверждено Решением о бюджете на 2023 год (в редакции от 28.12.2023 №60), рублей</w:t>
            </w:r>
          </w:p>
        </w:tc>
        <w:tc>
          <w:tcPr>
            <w:tcW w:w="1563" w:type="dxa"/>
            <w:tcBorders/>
          </w:tcPr>
          <w:p>
            <w:pPr>
              <w:pStyle w:val="Normal"/>
              <w:widowControl w:val="false"/>
              <w:suppressAutoHyphens w:val="true"/>
              <w:spacing w:lineRule="atLeast" w:line="360" w:before="0" w:after="0"/>
              <w:jc w:val="both"/>
              <w:textAlignment w:val="baseline"/>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color w:val="auto"/>
                <w:kern w:val="0"/>
                <w:sz w:val="24"/>
                <w:szCs w:val="24"/>
                <w:vertAlign w:val="subscript"/>
                <w:lang w:val="ru-RU" w:eastAsia="ru-RU" w:bidi="ar-SA"/>
              </w:rPr>
              <w:t>Исполнено,</w:t>
            </w:r>
          </w:p>
          <w:p>
            <w:pPr>
              <w:pStyle w:val="Normal"/>
              <w:widowControl w:val="false"/>
              <w:suppressAutoHyphens w:val="true"/>
              <w:spacing w:lineRule="atLeast" w:line="360" w:before="0" w:after="0"/>
              <w:jc w:val="both"/>
              <w:textAlignment w:val="baseline"/>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color w:val="auto"/>
                <w:kern w:val="0"/>
                <w:sz w:val="24"/>
                <w:szCs w:val="24"/>
                <w:vertAlign w:val="subscript"/>
                <w:lang w:val="ru-RU" w:eastAsia="ru-RU" w:bidi="ar-SA"/>
              </w:rPr>
              <w:t>Проект решения об исполнении бюджета за 2023 год</w:t>
            </w:r>
          </w:p>
        </w:tc>
        <w:tc>
          <w:tcPr>
            <w:tcW w:w="158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Удельный вес , в общем объеме доходов, %</w:t>
            </w:r>
          </w:p>
        </w:tc>
        <w:tc>
          <w:tcPr>
            <w:tcW w:w="1384"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Процент исполнения , %</w:t>
            </w:r>
          </w:p>
        </w:tc>
      </w:tr>
      <w:tr>
        <w:trPr>
          <w:trHeight w:val="605" w:hRule="atLeast"/>
        </w:trPr>
        <w:tc>
          <w:tcPr>
            <w:tcW w:w="342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b/>
                <w:color w:val="auto"/>
                <w:kern w:val="0"/>
                <w:sz w:val="24"/>
                <w:szCs w:val="24"/>
                <w:u w:val="single"/>
                <w:vertAlign w:val="subscript"/>
                <w:lang w:val="ru-RU" w:bidi="ar-SA"/>
              </w:rPr>
              <w:t>Налоговые и неналоговые доходы всего, в том числе:</w:t>
            </w:r>
          </w:p>
        </w:tc>
        <w:tc>
          <w:tcPr>
            <w:tcW w:w="1562"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b/>
                <w:color w:val="auto"/>
                <w:kern w:val="0"/>
                <w:sz w:val="24"/>
                <w:szCs w:val="24"/>
                <w:vertAlign w:val="subscript"/>
                <w:lang w:val="ru-RU" w:bidi="ar-SA"/>
              </w:rPr>
              <w:t>7 010 255,79</w:t>
            </w:r>
          </w:p>
        </w:tc>
        <w:tc>
          <w:tcPr>
            <w:tcW w:w="1563"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b/>
                <w:color w:val="auto"/>
                <w:kern w:val="0"/>
                <w:sz w:val="24"/>
                <w:szCs w:val="24"/>
                <w:vertAlign w:val="subscript"/>
                <w:lang w:val="ru-RU" w:bidi="ar-SA"/>
              </w:rPr>
              <w:t>7 342 823,80</w:t>
            </w:r>
          </w:p>
        </w:tc>
        <w:tc>
          <w:tcPr>
            <w:tcW w:w="158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b/>
                <w:color w:val="auto"/>
                <w:kern w:val="0"/>
                <w:sz w:val="24"/>
                <w:szCs w:val="24"/>
                <w:vertAlign w:val="subscript"/>
                <w:lang w:val="ru-RU" w:bidi="ar-SA"/>
              </w:rPr>
              <w:t>37,19</w:t>
            </w:r>
          </w:p>
        </w:tc>
        <w:tc>
          <w:tcPr>
            <w:tcW w:w="1384"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104,74</w:t>
            </w:r>
          </w:p>
        </w:tc>
      </w:tr>
      <w:tr>
        <w:trPr/>
        <w:tc>
          <w:tcPr>
            <w:tcW w:w="342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b/>
                <w:color w:val="auto"/>
                <w:kern w:val="0"/>
                <w:sz w:val="24"/>
                <w:szCs w:val="24"/>
                <w:vertAlign w:val="subscript"/>
                <w:lang w:val="ru-RU" w:bidi="ar-SA"/>
              </w:rPr>
              <w:t>Налоговые доходы всего, из них:</w:t>
            </w:r>
          </w:p>
        </w:tc>
        <w:tc>
          <w:tcPr>
            <w:tcW w:w="1562" w:type="dxa"/>
            <w:tcBorders/>
          </w:tcPr>
          <w:p>
            <w:pPr>
              <w:pStyle w:val="Normal"/>
              <w:widowControl w:val="false"/>
              <w:suppressAutoHyphens w:val="true"/>
              <w:spacing w:lineRule="atLeast" w:line="360" w:before="0" w:after="0"/>
              <w:jc w:val="both"/>
              <w:textAlignment w:val="baseline"/>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b/>
                <w:color w:val="auto"/>
                <w:kern w:val="0"/>
                <w:sz w:val="24"/>
                <w:szCs w:val="24"/>
                <w:vertAlign w:val="subscript"/>
                <w:lang w:val="ru-RU" w:eastAsia="ru-RU" w:bidi="ar-SA"/>
              </w:rPr>
              <w:t>3 552 492,72</w:t>
            </w:r>
          </w:p>
        </w:tc>
        <w:tc>
          <w:tcPr>
            <w:tcW w:w="1563" w:type="dxa"/>
            <w:tcBorders/>
          </w:tcPr>
          <w:p>
            <w:pPr>
              <w:pStyle w:val="Normal"/>
              <w:widowControl w:val="false"/>
              <w:suppressAutoHyphens w:val="true"/>
              <w:spacing w:lineRule="atLeast" w:line="360" w:before="0" w:after="0"/>
              <w:jc w:val="both"/>
              <w:textAlignment w:val="baseline"/>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b/>
                <w:color w:val="auto"/>
                <w:kern w:val="0"/>
                <w:sz w:val="24"/>
                <w:szCs w:val="24"/>
                <w:vertAlign w:val="subscript"/>
                <w:lang w:val="ru-RU" w:eastAsia="ru-RU" w:bidi="ar-SA"/>
              </w:rPr>
              <w:t>3 881 017,95</w:t>
            </w:r>
          </w:p>
        </w:tc>
        <w:tc>
          <w:tcPr>
            <w:tcW w:w="1585" w:type="dxa"/>
            <w:tcBorders/>
          </w:tcPr>
          <w:p>
            <w:pPr>
              <w:pStyle w:val="Normal"/>
              <w:widowControl w:val="false"/>
              <w:suppressAutoHyphens w:val="true"/>
              <w:spacing w:lineRule="atLeast" w:line="360" w:before="0" w:after="0"/>
              <w:jc w:val="both"/>
              <w:textAlignment w:val="baseline"/>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color w:val="auto"/>
                <w:kern w:val="0"/>
                <w:sz w:val="24"/>
                <w:szCs w:val="24"/>
                <w:vertAlign w:val="subscript"/>
                <w:lang w:val="ru-RU" w:eastAsia="ru-RU" w:bidi="ar-SA"/>
              </w:rPr>
              <w:t>19,66</w:t>
            </w:r>
          </w:p>
        </w:tc>
        <w:tc>
          <w:tcPr>
            <w:tcW w:w="1384" w:type="dxa"/>
            <w:tcBorders/>
          </w:tcPr>
          <w:p>
            <w:pPr>
              <w:pStyle w:val="Normal"/>
              <w:widowControl w:val="false"/>
              <w:suppressAutoHyphens w:val="true"/>
              <w:spacing w:lineRule="atLeast" w:line="360" w:before="0" w:after="0"/>
              <w:jc w:val="both"/>
              <w:textAlignment w:val="baseline"/>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color w:val="auto"/>
                <w:kern w:val="0"/>
                <w:sz w:val="24"/>
                <w:szCs w:val="24"/>
                <w:vertAlign w:val="subscript"/>
                <w:lang w:val="ru-RU" w:eastAsia="ru-RU" w:bidi="ar-SA"/>
              </w:rPr>
              <w:t>109,25</w:t>
            </w:r>
          </w:p>
        </w:tc>
      </w:tr>
      <w:tr>
        <w:trPr>
          <w:trHeight w:val="346" w:hRule="atLeast"/>
        </w:trPr>
        <w:tc>
          <w:tcPr>
            <w:tcW w:w="342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Налог на доходы физических лиц</w:t>
            </w:r>
          </w:p>
        </w:tc>
        <w:tc>
          <w:tcPr>
            <w:tcW w:w="1562"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332 342,06</w:t>
            </w:r>
          </w:p>
        </w:tc>
        <w:tc>
          <w:tcPr>
            <w:tcW w:w="1563"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430 995,02</w:t>
            </w:r>
          </w:p>
        </w:tc>
        <w:tc>
          <w:tcPr>
            <w:tcW w:w="158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2,18</w:t>
            </w:r>
          </w:p>
        </w:tc>
        <w:tc>
          <w:tcPr>
            <w:tcW w:w="1384"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129,68</w:t>
            </w:r>
          </w:p>
        </w:tc>
      </w:tr>
      <w:tr>
        <w:trPr/>
        <w:tc>
          <w:tcPr>
            <w:tcW w:w="342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Налоги на товары (работы, услуги) реализуемые на территории РФ</w:t>
            </w:r>
          </w:p>
        </w:tc>
        <w:tc>
          <w:tcPr>
            <w:tcW w:w="1562"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1 268 595,52</w:t>
            </w:r>
          </w:p>
        </w:tc>
        <w:tc>
          <w:tcPr>
            <w:tcW w:w="1563"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1 394 071,28</w:t>
            </w:r>
          </w:p>
        </w:tc>
        <w:tc>
          <w:tcPr>
            <w:tcW w:w="158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7,06</w:t>
            </w:r>
          </w:p>
        </w:tc>
        <w:tc>
          <w:tcPr>
            <w:tcW w:w="1384"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109,89</w:t>
            </w:r>
          </w:p>
        </w:tc>
      </w:tr>
      <w:tr>
        <w:trPr/>
        <w:tc>
          <w:tcPr>
            <w:tcW w:w="342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Единый сельскохозяйственный налог</w:t>
            </w:r>
          </w:p>
        </w:tc>
        <w:tc>
          <w:tcPr>
            <w:tcW w:w="1562"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320 518,00</w:t>
            </w:r>
          </w:p>
        </w:tc>
        <w:tc>
          <w:tcPr>
            <w:tcW w:w="1563"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320 518,00</w:t>
            </w:r>
          </w:p>
        </w:tc>
        <w:tc>
          <w:tcPr>
            <w:tcW w:w="158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1,62</w:t>
            </w:r>
          </w:p>
        </w:tc>
        <w:tc>
          <w:tcPr>
            <w:tcW w:w="1384"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100,00</w:t>
            </w:r>
          </w:p>
        </w:tc>
      </w:tr>
      <w:tr>
        <w:trPr/>
        <w:tc>
          <w:tcPr>
            <w:tcW w:w="342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Налог на имущество физических лиц</w:t>
            </w:r>
          </w:p>
        </w:tc>
        <w:tc>
          <w:tcPr>
            <w:tcW w:w="1562"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47 063,42</w:t>
            </w:r>
          </w:p>
        </w:tc>
        <w:tc>
          <w:tcPr>
            <w:tcW w:w="1563"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49 053,78</w:t>
            </w:r>
          </w:p>
        </w:tc>
        <w:tc>
          <w:tcPr>
            <w:tcW w:w="158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0,25</w:t>
            </w:r>
          </w:p>
        </w:tc>
        <w:tc>
          <w:tcPr>
            <w:tcW w:w="1384"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104,23</w:t>
            </w:r>
          </w:p>
        </w:tc>
      </w:tr>
      <w:tr>
        <w:trPr/>
        <w:tc>
          <w:tcPr>
            <w:tcW w:w="342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Земельный налог</w:t>
            </w:r>
          </w:p>
        </w:tc>
        <w:tc>
          <w:tcPr>
            <w:tcW w:w="1562"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1 579 773,72</w:t>
            </w:r>
          </w:p>
        </w:tc>
        <w:tc>
          <w:tcPr>
            <w:tcW w:w="1563"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1 682 179,87</w:t>
            </w:r>
          </w:p>
        </w:tc>
        <w:tc>
          <w:tcPr>
            <w:tcW w:w="158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8,52</w:t>
            </w:r>
          </w:p>
        </w:tc>
        <w:tc>
          <w:tcPr>
            <w:tcW w:w="1384"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106,48</w:t>
            </w:r>
          </w:p>
        </w:tc>
      </w:tr>
      <w:tr>
        <w:trPr/>
        <w:tc>
          <w:tcPr>
            <w:tcW w:w="342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Государственная пошлина</w:t>
            </w:r>
          </w:p>
        </w:tc>
        <w:tc>
          <w:tcPr>
            <w:tcW w:w="1562"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4 200,00</w:t>
            </w:r>
          </w:p>
        </w:tc>
        <w:tc>
          <w:tcPr>
            <w:tcW w:w="1563"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4 200,00</w:t>
            </w:r>
          </w:p>
        </w:tc>
        <w:tc>
          <w:tcPr>
            <w:tcW w:w="158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0,02</w:t>
            </w:r>
          </w:p>
        </w:tc>
        <w:tc>
          <w:tcPr>
            <w:tcW w:w="1384"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100,00</w:t>
            </w:r>
          </w:p>
        </w:tc>
      </w:tr>
      <w:tr>
        <w:trPr/>
        <w:tc>
          <w:tcPr>
            <w:tcW w:w="342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b/>
                <w:color w:val="auto"/>
                <w:kern w:val="0"/>
                <w:sz w:val="24"/>
                <w:szCs w:val="24"/>
                <w:vertAlign w:val="subscript"/>
                <w:lang w:val="ru-RU" w:bidi="ar-SA"/>
              </w:rPr>
              <w:t>Неналоговые доходы всего, из них:</w:t>
            </w:r>
          </w:p>
        </w:tc>
        <w:tc>
          <w:tcPr>
            <w:tcW w:w="1562"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b/>
                <w:color w:val="auto"/>
                <w:kern w:val="0"/>
                <w:sz w:val="24"/>
                <w:szCs w:val="24"/>
                <w:vertAlign w:val="subscript"/>
                <w:lang w:val="ru-RU" w:bidi="ar-SA"/>
              </w:rPr>
              <w:t>3 457 763,07</w:t>
            </w:r>
          </w:p>
        </w:tc>
        <w:tc>
          <w:tcPr>
            <w:tcW w:w="1563"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b/>
                <w:color w:val="auto"/>
                <w:kern w:val="0"/>
                <w:sz w:val="24"/>
                <w:szCs w:val="24"/>
                <w:vertAlign w:val="subscript"/>
                <w:lang w:val="ru-RU" w:bidi="ar-SA"/>
              </w:rPr>
              <w:t>3 461 805,85</w:t>
            </w:r>
          </w:p>
        </w:tc>
        <w:tc>
          <w:tcPr>
            <w:tcW w:w="158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b/>
                <w:color w:val="auto"/>
                <w:kern w:val="0"/>
                <w:sz w:val="24"/>
                <w:szCs w:val="24"/>
                <w:vertAlign w:val="subscript"/>
                <w:lang w:val="ru-RU" w:bidi="ar-SA"/>
              </w:rPr>
              <w:t>17,53</w:t>
            </w:r>
          </w:p>
        </w:tc>
        <w:tc>
          <w:tcPr>
            <w:tcW w:w="1384" w:type="dxa"/>
            <w:tcBorders/>
          </w:tcPr>
          <w:p>
            <w:pPr>
              <w:pStyle w:val="ListParagraph"/>
              <w:widowControl w:val="false"/>
              <w:suppressAutoHyphens w:val="true"/>
              <w:spacing w:before="0" w:after="200"/>
              <w:ind w:left="0" w:right="-1" w:hanging="0"/>
              <w:contextualSpacing/>
              <w:jc w:val="left"/>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100,12</w:t>
            </w:r>
          </w:p>
        </w:tc>
      </w:tr>
      <w:tr>
        <w:trPr/>
        <w:tc>
          <w:tcPr>
            <w:tcW w:w="342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Доходы от использования имущества находящегося в государственной и муниципальной собственности</w:t>
            </w:r>
          </w:p>
        </w:tc>
        <w:tc>
          <w:tcPr>
            <w:tcW w:w="1562"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3 451 741,77</w:t>
            </w:r>
          </w:p>
        </w:tc>
        <w:tc>
          <w:tcPr>
            <w:tcW w:w="1563"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3 453 261,77</w:t>
            </w:r>
          </w:p>
        </w:tc>
        <w:tc>
          <w:tcPr>
            <w:tcW w:w="158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17,49</w:t>
            </w:r>
          </w:p>
        </w:tc>
        <w:tc>
          <w:tcPr>
            <w:tcW w:w="1384" w:type="dxa"/>
            <w:tcBorders/>
          </w:tcPr>
          <w:p>
            <w:pPr>
              <w:pStyle w:val="Normal"/>
              <w:widowControl w:val="false"/>
              <w:suppressAutoHyphens w:val="true"/>
              <w:spacing w:before="0" w:after="0"/>
              <w:jc w:val="both"/>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color w:val="auto"/>
                <w:kern w:val="0"/>
                <w:sz w:val="24"/>
                <w:szCs w:val="24"/>
                <w:vertAlign w:val="subscript"/>
                <w:lang w:val="ru-RU" w:eastAsia="ru-RU" w:bidi="ar-SA"/>
              </w:rPr>
              <w:t>100,04</w:t>
            </w:r>
          </w:p>
        </w:tc>
      </w:tr>
      <w:tr>
        <w:trPr/>
        <w:tc>
          <w:tcPr>
            <w:tcW w:w="3425" w:type="dxa"/>
            <w:tcBorders>
              <w:top w:val="nil"/>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Доходы от оказания платных услуг и компенсации затрат государства</w:t>
            </w:r>
          </w:p>
        </w:tc>
        <w:tc>
          <w:tcPr>
            <w:tcW w:w="1562" w:type="dxa"/>
            <w:tcBorders>
              <w:top w:val="nil"/>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4 795,14</w:t>
            </w:r>
          </w:p>
        </w:tc>
        <w:tc>
          <w:tcPr>
            <w:tcW w:w="1563" w:type="dxa"/>
            <w:tcBorders>
              <w:top w:val="nil"/>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7 317 ,92</w:t>
            </w:r>
          </w:p>
        </w:tc>
        <w:tc>
          <w:tcPr>
            <w:tcW w:w="1585" w:type="dxa"/>
            <w:tcBorders>
              <w:top w:val="nil"/>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0,04</w:t>
            </w:r>
          </w:p>
        </w:tc>
        <w:tc>
          <w:tcPr>
            <w:tcW w:w="1384" w:type="dxa"/>
            <w:tcBorders>
              <w:top w:val="nil"/>
            </w:tcBorders>
          </w:tcPr>
          <w:p>
            <w:pPr>
              <w:pStyle w:val="Normal"/>
              <w:widowControl w:val="false"/>
              <w:suppressAutoHyphens w:val="true"/>
              <w:spacing w:before="0" w:after="0"/>
              <w:jc w:val="both"/>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color w:val="auto"/>
                <w:kern w:val="0"/>
                <w:sz w:val="24"/>
                <w:szCs w:val="24"/>
                <w:vertAlign w:val="subscript"/>
                <w:lang w:val="ru-RU" w:eastAsia="ru-RU" w:bidi="ar-SA"/>
              </w:rPr>
              <w:t>152,61</w:t>
            </w:r>
          </w:p>
        </w:tc>
      </w:tr>
      <w:tr>
        <w:trPr>
          <w:trHeight w:val="414" w:hRule="atLeast"/>
        </w:trPr>
        <w:tc>
          <w:tcPr>
            <w:tcW w:w="342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Штрафы, санкции, возмещение вреда</w:t>
            </w:r>
          </w:p>
        </w:tc>
        <w:tc>
          <w:tcPr>
            <w:tcW w:w="1562"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1 226,16</w:t>
            </w:r>
          </w:p>
        </w:tc>
        <w:tc>
          <w:tcPr>
            <w:tcW w:w="1563"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1 226,16</w:t>
            </w:r>
          </w:p>
        </w:tc>
        <w:tc>
          <w:tcPr>
            <w:tcW w:w="158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0,01</w:t>
            </w:r>
          </w:p>
        </w:tc>
        <w:tc>
          <w:tcPr>
            <w:tcW w:w="1384" w:type="dxa"/>
            <w:tcBorders/>
          </w:tcPr>
          <w:p>
            <w:pPr>
              <w:pStyle w:val="Normal"/>
              <w:widowControl w:val="false"/>
              <w:suppressAutoHyphens w:val="true"/>
              <w:spacing w:before="0" w:after="0"/>
              <w:jc w:val="left"/>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color w:val="auto"/>
                <w:kern w:val="0"/>
                <w:sz w:val="24"/>
                <w:szCs w:val="24"/>
                <w:vertAlign w:val="subscript"/>
                <w:lang w:val="ru-RU" w:eastAsia="ru-RU" w:bidi="ar-SA"/>
              </w:rPr>
              <w:t>100,00</w:t>
            </w:r>
          </w:p>
        </w:tc>
      </w:tr>
      <w:tr>
        <w:trPr/>
        <w:tc>
          <w:tcPr>
            <w:tcW w:w="342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b/>
                <w:color w:val="auto"/>
                <w:kern w:val="0"/>
                <w:sz w:val="24"/>
                <w:szCs w:val="24"/>
                <w:u w:val="single"/>
                <w:vertAlign w:val="subscript"/>
                <w:lang w:val="ru-RU" w:bidi="ar-SA"/>
              </w:rPr>
              <w:t>Безвозмездные поступления  в том числе :</w:t>
            </w:r>
          </w:p>
        </w:tc>
        <w:tc>
          <w:tcPr>
            <w:tcW w:w="1562" w:type="dxa"/>
            <w:tcBorders/>
          </w:tcPr>
          <w:p>
            <w:pPr>
              <w:pStyle w:val="Normal"/>
              <w:widowControl w:val="false"/>
              <w:suppressAutoHyphens w:val="true"/>
              <w:spacing w:lineRule="atLeast" w:line="360" w:before="0" w:after="0"/>
              <w:jc w:val="both"/>
              <w:textAlignment w:val="baseline"/>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b/>
                <w:color w:val="auto"/>
                <w:kern w:val="0"/>
                <w:sz w:val="24"/>
                <w:szCs w:val="24"/>
                <w:vertAlign w:val="subscript"/>
                <w:lang w:val="ru-RU" w:eastAsia="ru-RU" w:bidi="ar-SA"/>
              </w:rPr>
              <w:t>12 591 418,82</w:t>
            </w:r>
          </w:p>
        </w:tc>
        <w:tc>
          <w:tcPr>
            <w:tcW w:w="1563" w:type="dxa"/>
            <w:tcBorders/>
          </w:tcPr>
          <w:p>
            <w:pPr>
              <w:pStyle w:val="Normal"/>
              <w:widowControl w:val="false"/>
              <w:suppressAutoHyphens w:val="true"/>
              <w:spacing w:lineRule="atLeast" w:line="360" w:before="0" w:after="0"/>
              <w:jc w:val="both"/>
              <w:textAlignment w:val="baseline"/>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b/>
                <w:color w:val="auto"/>
                <w:kern w:val="0"/>
                <w:sz w:val="24"/>
                <w:szCs w:val="24"/>
                <w:vertAlign w:val="subscript"/>
                <w:lang w:val="ru-RU" w:eastAsia="ru-RU" w:bidi="ar-SA"/>
              </w:rPr>
              <w:t>12 401 283,18</w:t>
            </w:r>
          </w:p>
        </w:tc>
        <w:tc>
          <w:tcPr>
            <w:tcW w:w="1585" w:type="dxa"/>
            <w:tcBorders/>
          </w:tcPr>
          <w:p>
            <w:pPr>
              <w:pStyle w:val="Normal"/>
              <w:widowControl w:val="false"/>
              <w:suppressAutoHyphens w:val="true"/>
              <w:spacing w:lineRule="atLeast" w:line="360" w:before="0" w:after="0"/>
              <w:jc w:val="both"/>
              <w:textAlignment w:val="baseline"/>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b/>
                <w:color w:val="auto"/>
                <w:kern w:val="0"/>
                <w:sz w:val="24"/>
                <w:szCs w:val="24"/>
                <w:vertAlign w:val="subscript"/>
                <w:lang w:val="ru-RU" w:eastAsia="ru-RU" w:bidi="ar-SA"/>
              </w:rPr>
              <w:t>62,81</w:t>
            </w:r>
          </w:p>
        </w:tc>
        <w:tc>
          <w:tcPr>
            <w:tcW w:w="1384" w:type="dxa"/>
            <w:tcBorders/>
          </w:tcPr>
          <w:p>
            <w:pPr>
              <w:pStyle w:val="Normal"/>
              <w:widowControl w:val="false"/>
              <w:suppressAutoHyphens w:val="true"/>
              <w:spacing w:before="0" w:after="0"/>
              <w:jc w:val="left"/>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color w:val="auto"/>
                <w:kern w:val="0"/>
                <w:sz w:val="24"/>
                <w:szCs w:val="24"/>
                <w:vertAlign w:val="subscript"/>
                <w:lang w:val="ru-RU" w:eastAsia="ru-RU" w:bidi="ar-SA"/>
              </w:rPr>
              <w:t>98,49</w:t>
            </w:r>
          </w:p>
        </w:tc>
      </w:tr>
      <w:tr>
        <w:trPr/>
        <w:tc>
          <w:tcPr>
            <w:tcW w:w="342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Дотации бюджетам сельских поселений на выравнивание бюджетной обеспеченности</w:t>
            </w:r>
          </w:p>
        </w:tc>
        <w:tc>
          <w:tcPr>
            <w:tcW w:w="1562"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3 109 095,82</w:t>
            </w:r>
          </w:p>
        </w:tc>
        <w:tc>
          <w:tcPr>
            <w:tcW w:w="1563"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3 109 095,82</w:t>
            </w:r>
          </w:p>
        </w:tc>
        <w:tc>
          <w:tcPr>
            <w:tcW w:w="1585" w:type="dxa"/>
            <w:tcBorders/>
          </w:tcPr>
          <w:p>
            <w:pPr>
              <w:pStyle w:val="Normal"/>
              <w:widowControl w:val="false"/>
              <w:suppressAutoHyphens w:val="true"/>
              <w:spacing w:lineRule="atLeast" w:line="360" w:before="0" w:after="0"/>
              <w:jc w:val="both"/>
              <w:textAlignment w:val="baseline"/>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color w:val="auto"/>
                <w:kern w:val="0"/>
                <w:sz w:val="24"/>
                <w:szCs w:val="24"/>
                <w:vertAlign w:val="subscript"/>
                <w:lang w:val="ru-RU" w:eastAsia="ru-RU" w:bidi="ar-SA"/>
              </w:rPr>
              <w:t>15,75</w:t>
            </w:r>
          </w:p>
        </w:tc>
        <w:tc>
          <w:tcPr>
            <w:tcW w:w="1384" w:type="dxa"/>
            <w:tcBorders/>
          </w:tcPr>
          <w:p>
            <w:pPr>
              <w:pStyle w:val="Normal"/>
              <w:widowControl w:val="false"/>
              <w:suppressAutoHyphens w:val="true"/>
              <w:spacing w:before="0" w:after="0"/>
              <w:jc w:val="left"/>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color w:val="auto"/>
                <w:kern w:val="0"/>
                <w:sz w:val="24"/>
                <w:szCs w:val="24"/>
                <w:vertAlign w:val="subscript"/>
                <w:lang w:val="ru-RU" w:eastAsia="ru-RU" w:bidi="ar-SA"/>
              </w:rPr>
              <w:t>100,00</w:t>
            </w:r>
          </w:p>
        </w:tc>
      </w:tr>
      <w:tr>
        <w:trPr/>
        <w:tc>
          <w:tcPr>
            <w:tcW w:w="3425" w:type="dxa"/>
            <w:tcBorders>
              <w:top w:val="nil"/>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Субсидии бюджетам бюджетной системы Российской Федерации (межбюджетные субсидии)</w:t>
            </w:r>
          </w:p>
        </w:tc>
        <w:tc>
          <w:tcPr>
            <w:tcW w:w="1562" w:type="dxa"/>
            <w:tcBorders>
              <w:top w:val="nil"/>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8 900 000,00</w:t>
            </w:r>
          </w:p>
        </w:tc>
        <w:tc>
          <w:tcPr>
            <w:tcW w:w="1563" w:type="dxa"/>
            <w:tcBorders>
              <w:top w:val="nil"/>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8 809 999,92</w:t>
            </w:r>
          </w:p>
        </w:tc>
        <w:tc>
          <w:tcPr>
            <w:tcW w:w="1585" w:type="dxa"/>
            <w:tcBorders>
              <w:top w:val="nil"/>
            </w:tcBorders>
          </w:tcPr>
          <w:p>
            <w:pPr>
              <w:pStyle w:val="Normal"/>
              <w:widowControl w:val="false"/>
              <w:suppressAutoHyphens w:val="true"/>
              <w:spacing w:lineRule="atLeast" w:line="360" w:before="0" w:after="0"/>
              <w:jc w:val="both"/>
              <w:textAlignment w:val="baseline"/>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color w:val="auto"/>
                <w:kern w:val="0"/>
                <w:sz w:val="24"/>
                <w:szCs w:val="24"/>
                <w:vertAlign w:val="subscript"/>
                <w:lang w:val="ru-RU" w:eastAsia="ru-RU" w:bidi="ar-SA"/>
              </w:rPr>
              <w:t>44,62</w:t>
            </w:r>
          </w:p>
        </w:tc>
        <w:tc>
          <w:tcPr>
            <w:tcW w:w="1384" w:type="dxa"/>
            <w:tcBorders>
              <w:top w:val="nil"/>
            </w:tcBorders>
          </w:tcPr>
          <w:p>
            <w:pPr>
              <w:pStyle w:val="Normal"/>
              <w:widowControl w:val="false"/>
              <w:suppressAutoHyphens w:val="true"/>
              <w:spacing w:before="0" w:after="0"/>
              <w:jc w:val="left"/>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color w:val="auto"/>
                <w:kern w:val="0"/>
                <w:sz w:val="24"/>
                <w:szCs w:val="24"/>
                <w:vertAlign w:val="subscript"/>
                <w:lang w:val="ru-RU" w:eastAsia="ru-RU" w:bidi="ar-SA"/>
              </w:rPr>
              <w:t>98,99</w:t>
            </w:r>
          </w:p>
        </w:tc>
      </w:tr>
      <w:tr>
        <w:trPr/>
        <w:tc>
          <w:tcPr>
            <w:tcW w:w="342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562"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144 090,00</w:t>
            </w:r>
          </w:p>
        </w:tc>
        <w:tc>
          <w:tcPr>
            <w:tcW w:w="1563"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144 090,00</w:t>
            </w:r>
          </w:p>
        </w:tc>
        <w:tc>
          <w:tcPr>
            <w:tcW w:w="158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0,73</w:t>
            </w:r>
          </w:p>
        </w:tc>
        <w:tc>
          <w:tcPr>
            <w:tcW w:w="1384" w:type="dxa"/>
            <w:tcBorders/>
          </w:tcPr>
          <w:p>
            <w:pPr>
              <w:pStyle w:val="Normal"/>
              <w:widowControl w:val="false"/>
              <w:suppressAutoHyphens w:val="true"/>
              <w:spacing w:before="0" w:after="0"/>
              <w:jc w:val="left"/>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color w:val="auto"/>
                <w:kern w:val="0"/>
                <w:sz w:val="24"/>
                <w:szCs w:val="24"/>
                <w:vertAlign w:val="subscript"/>
                <w:lang w:val="ru-RU" w:eastAsia="ru-RU" w:bidi="ar-SA"/>
              </w:rPr>
              <w:t>100,00</w:t>
            </w:r>
          </w:p>
        </w:tc>
      </w:tr>
      <w:tr>
        <w:trPr/>
        <w:tc>
          <w:tcPr>
            <w:tcW w:w="342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Иные межбюджетные трансферты</w:t>
            </w:r>
          </w:p>
        </w:tc>
        <w:tc>
          <w:tcPr>
            <w:tcW w:w="1562"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438 233,00</w:t>
            </w:r>
          </w:p>
        </w:tc>
        <w:tc>
          <w:tcPr>
            <w:tcW w:w="1563"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338 097,44</w:t>
            </w:r>
          </w:p>
        </w:tc>
        <w:tc>
          <w:tcPr>
            <w:tcW w:w="1585" w:type="dxa"/>
            <w:tcBorders/>
          </w:tcPr>
          <w:p>
            <w:pPr>
              <w:pStyle w:val="ListParagraph"/>
              <w:widowControl w:val="false"/>
              <w:suppressAutoHyphens w:val="true"/>
              <w:spacing w:before="0" w:after="200"/>
              <w:ind w:left="0" w:right="-1" w:hanging="0"/>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color w:val="auto"/>
                <w:kern w:val="0"/>
                <w:sz w:val="24"/>
                <w:szCs w:val="24"/>
                <w:vertAlign w:val="subscript"/>
                <w:lang w:val="ru-RU" w:bidi="ar-SA"/>
              </w:rPr>
              <w:t>1,71</w:t>
            </w:r>
          </w:p>
        </w:tc>
        <w:tc>
          <w:tcPr>
            <w:tcW w:w="1384" w:type="dxa"/>
            <w:tcBorders/>
          </w:tcPr>
          <w:p>
            <w:pPr>
              <w:pStyle w:val="Normal"/>
              <w:widowControl w:val="false"/>
              <w:suppressAutoHyphens w:val="true"/>
              <w:spacing w:before="0" w:after="0"/>
              <w:jc w:val="left"/>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color w:val="auto"/>
                <w:kern w:val="0"/>
                <w:sz w:val="24"/>
                <w:szCs w:val="24"/>
                <w:vertAlign w:val="subscript"/>
                <w:lang w:val="ru-RU" w:eastAsia="ru-RU" w:bidi="ar-SA"/>
              </w:rPr>
              <w:t>77,15</w:t>
            </w:r>
          </w:p>
        </w:tc>
      </w:tr>
      <w:tr>
        <w:trPr/>
        <w:tc>
          <w:tcPr>
            <w:tcW w:w="3425" w:type="dxa"/>
            <w:tcBorders/>
          </w:tcPr>
          <w:p>
            <w:pPr>
              <w:pStyle w:val="ListParagraph"/>
              <w:widowControl w:val="false"/>
              <w:suppressAutoHyphens w:val="true"/>
              <w:spacing w:lineRule="auto" w:line="240" w:before="0" w:after="0"/>
              <w:ind w:left="0" w:firstLine="709"/>
              <w:contextualSpacing/>
              <w:jc w:val="both"/>
              <w:rPr>
                <w:rFonts w:ascii="Times New Roman" w:hAnsi="Times New Roman" w:cs="Times New Roman"/>
                <w:color w:val="auto"/>
                <w:kern w:val="0"/>
                <w:sz w:val="24"/>
                <w:szCs w:val="24"/>
                <w:vertAlign w:val="subscript"/>
                <w:lang w:val="ru-RU" w:bidi="ar-SA"/>
              </w:rPr>
            </w:pPr>
            <w:r>
              <w:rPr>
                <w:rFonts w:cs="Times New Roman" w:ascii="Times New Roman" w:hAnsi="Times New Roman"/>
                <w:b/>
                <w:color w:val="auto"/>
                <w:kern w:val="0"/>
                <w:sz w:val="24"/>
                <w:szCs w:val="24"/>
                <w:vertAlign w:val="subscript"/>
                <w:lang w:val="ru-RU" w:bidi="ar-SA"/>
              </w:rPr>
              <w:t>ИТОГО</w:t>
            </w:r>
          </w:p>
        </w:tc>
        <w:tc>
          <w:tcPr>
            <w:tcW w:w="1562" w:type="dxa"/>
            <w:tcBorders/>
          </w:tcPr>
          <w:p>
            <w:pPr>
              <w:pStyle w:val="Normal"/>
              <w:widowControl w:val="false"/>
              <w:suppressAutoHyphens w:val="true"/>
              <w:spacing w:before="0" w:after="0"/>
              <w:jc w:val="both"/>
              <w:textAlignment w:val="baseline"/>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b/>
                <w:color w:val="auto"/>
                <w:kern w:val="0"/>
                <w:sz w:val="24"/>
                <w:szCs w:val="24"/>
                <w:vertAlign w:val="subscript"/>
                <w:lang w:val="ru-RU" w:eastAsia="ru-RU" w:bidi="ar-SA"/>
              </w:rPr>
              <w:t>19 601 674,61</w:t>
            </w:r>
          </w:p>
        </w:tc>
        <w:tc>
          <w:tcPr>
            <w:tcW w:w="1563" w:type="dxa"/>
            <w:tcBorders/>
          </w:tcPr>
          <w:p>
            <w:pPr>
              <w:pStyle w:val="Normal"/>
              <w:widowControl w:val="false"/>
              <w:suppressAutoHyphens w:val="true"/>
              <w:spacing w:before="0" w:after="0"/>
              <w:jc w:val="both"/>
              <w:textAlignment w:val="baseline"/>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b/>
                <w:color w:val="auto"/>
                <w:kern w:val="0"/>
                <w:sz w:val="24"/>
                <w:szCs w:val="24"/>
                <w:vertAlign w:val="subscript"/>
                <w:lang w:val="ru-RU" w:eastAsia="ru-RU" w:bidi="ar-SA"/>
              </w:rPr>
              <w:t>19 744 106,98</w:t>
            </w:r>
          </w:p>
        </w:tc>
        <w:tc>
          <w:tcPr>
            <w:tcW w:w="1585" w:type="dxa"/>
            <w:tcBorders/>
          </w:tcPr>
          <w:p>
            <w:pPr>
              <w:pStyle w:val="Normal"/>
              <w:widowControl w:val="false"/>
              <w:suppressAutoHyphens w:val="true"/>
              <w:spacing w:before="0" w:after="0"/>
              <w:jc w:val="both"/>
              <w:textAlignment w:val="baseline"/>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b/>
                <w:color w:val="auto"/>
                <w:kern w:val="0"/>
                <w:sz w:val="24"/>
                <w:szCs w:val="24"/>
                <w:vertAlign w:val="subscript"/>
                <w:lang w:val="ru-RU" w:eastAsia="ru-RU" w:bidi="ar-SA"/>
              </w:rPr>
              <w:t>100,00</w:t>
            </w:r>
          </w:p>
        </w:tc>
        <w:tc>
          <w:tcPr>
            <w:tcW w:w="1384" w:type="dxa"/>
            <w:tcBorders/>
          </w:tcPr>
          <w:p>
            <w:pPr>
              <w:pStyle w:val="Normal"/>
              <w:widowControl w:val="false"/>
              <w:suppressAutoHyphens w:val="true"/>
              <w:spacing w:before="0" w:after="0"/>
              <w:jc w:val="both"/>
              <w:textAlignment w:val="baseline"/>
              <w:rPr>
                <w:rFonts w:ascii="Times New Roman" w:hAnsi="Times New Roman" w:eastAsia="Times New Roman" w:cs="Times New Roman"/>
                <w:color w:val="auto"/>
                <w:kern w:val="0"/>
                <w:sz w:val="24"/>
                <w:szCs w:val="24"/>
                <w:vertAlign w:val="subscript"/>
                <w:lang w:val="ru-RU" w:eastAsia="ru-RU" w:bidi="ar-SA"/>
              </w:rPr>
            </w:pPr>
            <w:r>
              <w:rPr>
                <w:rFonts w:eastAsia="Times New Roman" w:cs="Times New Roman"/>
                <w:b/>
                <w:color w:val="auto"/>
                <w:kern w:val="0"/>
                <w:sz w:val="24"/>
                <w:szCs w:val="24"/>
                <w:vertAlign w:val="subscript"/>
                <w:lang w:val="ru-RU" w:eastAsia="ru-RU" w:bidi="ar-SA"/>
              </w:rPr>
              <w:t>100,73</w:t>
            </w:r>
          </w:p>
        </w:tc>
      </w:tr>
    </w:tbl>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Фактическое поступление налоговых и неналоговых доходов составило 7 342 823,80</w:t>
      </w:r>
      <w:r>
        <w:rPr>
          <w:rFonts w:ascii="Times New Roman" w:hAnsi="Times New Roman"/>
          <w:color w:val="444444"/>
          <w:sz w:val="24"/>
          <w:szCs w:val="24"/>
        </w:rPr>
        <w:t xml:space="preserve"> </w:t>
      </w:r>
      <w:r>
        <w:rPr>
          <w:rFonts w:ascii="Times New Roman" w:hAnsi="Times New Roman"/>
          <w:sz w:val="24"/>
          <w:szCs w:val="24"/>
        </w:rPr>
        <w:t>рублей, исполнение обеспечено на уровне 104,74%, в структуре доходных источников бюджета поселения занимают 37,19%.</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Основным источником налоговых доходов бюджета поселения являются земельный налог (удельный вес в структуре  доходов составил 8,52%), налог на товары (работы, услуги) реализуемые на территории РФ (занимает 7,06%).</w:t>
      </w:r>
    </w:p>
    <w:p>
      <w:pPr>
        <w:pStyle w:val="ListParagraph"/>
        <w:widowControl w:val="false"/>
        <w:spacing w:lineRule="auto" w:line="240" w:before="0" w:after="0"/>
        <w:ind w:left="0" w:firstLine="709"/>
        <w:contextualSpacing/>
        <w:jc w:val="both"/>
        <w:rPr>
          <w:rFonts w:ascii="Times New Roman" w:hAnsi="Times New Roman"/>
          <w:sz w:val="24"/>
          <w:szCs w:val="24"/>
        </w:rPr>
      </w:pPr>
      <w:bookmarkStart w:id="0" w:name="OLE_LINK16"/>
      <w:bookmarkStart w:id="1" w:name="OLE_LINK15"/>
      <w:r>
        <w:rPr>
          <w:rFonts w:ascii="Times New Roman" w:hAnsi="Times New Roman"/>
          <w:sz w:val="24"/>
          <w:szCs w:val="24"/>
        </w:rPr>
        <w:t>Недоимка по платежам в бюджет поселения увеличилась за отчетный период 2023 года с  345 205,04 рублей до 529 708,62 рублей (на 53,45%), в том числе просроченная в сумме 527 999,62 рублей. Недоимка числится по земельному налогу и налогу на имущество (ГАД УФНС).</w:t>
      </w:r>
      <w:bookmarkStart w:id="2" w:name="OLE_LINK5"/>
      <w:bookmarkStart w:id="3" w:name="OLE_LINK6"/>
      <w:bookmarkEnd w:id="0"/>
      <w:bookmarkEnd w:id="1"/>
      <w:bookmarkEnd w:id="2"/>
      <w:bookmarkEnd w:id="3"/>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Фактическое поступление неналоговых доходов составило 3 461 805,85 рублей, что занимает долю 17,53% в общей структуре доходов. В структуре неналоговых доходов наибольший удельный вес занимают доходы от использования имущества находящегося в муниципальной собственности 99,75%.</w:t>
      </w:r>
      <w:bookmarkStart w:id="4" w:name="OLE_LINK7"/>
      <w:bookmarkStart w:id="5" w:name="OLE_LINK8"/>
      <w:bookmarkEnd w:id="4"/>
      <w:bookmarkEnd w:id="5"/>
      <w:r>
        <w:rPr>
          <w:rFonts w:ascii="Times New Roman" w:hAnsi="Times New Roman"/>
          <w:sz w:val="24"/>
          <w:szCs w:val="24"/>
        </w:rPr>
        <w:t xml:space="preserve"> В бюджете поселения имеется просроченная задолженность по договорам аренды муниципального имущества в сумме 1 274 761,08 рублей.</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В структуре доходов поселения доходы в виде безвозмездных поступлений из других бюджетов бюджетной системы РФ составляют 62,81%. Плановые показатели исполнены на 98,49%. Неисполнение обусловлено поступлением субсидий и межбюджетных трансфертов в пределах сумм, необходимых для оплаты денежных обязательств.</w:t>
      </w:r>
    </w:p>
    <w:p>
      <w:pPr>
        <w:pStyle w:val="Normal"/>
        <w:widowControl w:val="false"/>
        <w:ind w:right="-1" w:hanging="0"/>
        <w:jc w:val="center"/>
        <w:rPr>
          <w:b/>
          <w:b/>
        </w:rPr>
      </w:pPr>
      <w:r>
        <w:rPr>
          <w:b/>
        </w:rPr>
      </w:r>
    </w:p>
    <w:p>
      <w:pPr>
        <w:pStyle w:val="Normal"/>
        <w:widowControl w:val="false"/>
        <w:ind w:right="-1" w:hanging="0"/>
        <w:jc w:val="center"/>
        <w:rPr>
          <w:b/>
          <w:b/>
        </w:rPr>
      </w:pPr>
      <w:r>
        <w:rPr>
          <w:b/>
        </w:rPr>
        <w:t>5.Исполнение расходной части бюджета поселения за 2023год.</w:t>
      </w:r>
    </w:p>
    <w:p>
      <w:pPr>
        <w:pStyle w:val="Normal"/>
        <w:widowControl w:val="false"/>
        <w:ind w:firstLine="709"/>
        <w:jc w:val="both"/>
        <w:rPr/>
      </w:pPr>
      <w:r>
        <w:rPr/>
        <w:t>Исполнение расходов бюджета поселения согласно отчету об исполнении бюджета (ф.0503117) на 01.01.2024 года составило 20 837 740,83 рублей, или 97,90% уточненного плана.</w:t>
      </w:r>
    </w:p>
    <w:p>
      <w:pPr>
        <w:pStyle w:val="Normal"/>
        <w:widowControl w:val="false"/>
        <w:ind w:firstLine="709"/>
        <w:jc w:val="both"/>
        <w:rPr/>
      </w:pPr>
      <w:r>
        <w:rPr/>
        <w:t>Исполнение расходной части бюджета поселения за 2023 год в структуре раздела характеризуется следующими показателями:</w:t>
      </w:r>
    </w:p>
    <w:p>
      <w:pPr>
        <w:pStyle w:val="Normal"/>
        <w:widowControl w:val="false"/>
        <w:ind w:right="-1" w:hanging="0"/>
        <w:jc w:val="right"/>
        <w:rPr/>
      </w:pPr>
      <w:r>
        <w:rPr/>
        <w:t>Таблица 3</w:t>
      </w:r>
    </w:p>
    <w:tbl>
      <w:tblPr>
        <w:tblStyle w:val="af0"/>
        <w:tblW w:w="9570" w:type="dxa"/>
        <w:jc w:val="left"/>
        <w:tblInd w:w="0" w:type="dxa"/>
        <w:tblLayout w:type="fixed"/>
        <w:tblCellMar>
          <w:top w:w="0" w:type="dxa"/>
          <w:left w:w="108" w:type="dxa"/>
          <w:bottom w:w="0" w:type="dxa"/>
          <w:right w:w="108" w:type="dxa"/>
        </w:tblCellMar>
        <w:tblLook w:val="04a0"/>
      </w:tblPr>
      <w:tblGrid>
        <w:gridCol w:w="2551"/>
        <w:gridCol w:w="1769"/>
        <w:gridCol w:w="1778"/>
        <w:gridCol w:w="1713"/>
        <w:gridCol w:w="1759"/>
      </w:tblGrid>
      <w:tr>
        <w:trPr/>
        <w:tc>
          <w:tcPr>
            <w:tcW w:w="2551" w:type="dxa"/>
            <w:tcBorders/>
          </w:tcPr>
          <w:p>
            <w:pPr>
              <w:pStyle w:val="Normal"/>
              <w:widowControl w:val="false"/>
              <w:suppressAutoHyphens w:val="true"/>
              <w:spacing w:before="0" w:after="0"/>
              <w:ind w:right="-1" w:hanging="0"/>
              <w:jc w:val="both"/>
              <w:rPr>
                <w:vertAlign w:val="superscript"/>
              </w:rPr>
            </w:pPr>
            <w:r>
              <w:rPr>
                <w:rFonts w:eastAsia="Times New Roman" w:cs="Times New Roman"/>
                <w:kern w:val="0"/>
                <w:sz w:val="20"/>
                <w:vertAlign w:val="superscript"/>
                <w:lang w:val="ru-RU" w:eastAsia="ru-RU" w:bidi="ar-SA"/>
              </w:rPr>
              <w:t>Наименование раздела</w:t>
            </w:r>
          </w:p>
        </w:tc>
        <w:tc>
          <w:tcPr>
            <w:tcW w:w="1769" w:type="dxa"/>
            <w:tcBorders/>
          </w:tcPr>
          <w:p>
            <w:pPr>
              <w:pStyle w:val="Normal"/>
              <w:widowControl w:val="false"/>
              <w:suppressAutoHyphens w:val="true"/>
              <w:spacing w:lineRule="atLeast" w:line="360" w:before="0" w:after="0"/>
              <w:jc w:val="both"/>
              <w:textAlignment w:val="baseline"/>
              <w:rPr>
                <w:rFonts w:ascii="Times New Roman" w:hAnsi="Times New Roman" w:eastAsia="Times New Roman" w:cs="Times New Roman"/>
                <w:color w:val="auto"/>
                <w:kern w:val="0"/>
                <w:sz w:val="24"/>
                <w:szCs w:val="24"/>
                <w:vertAlign w:val="superscript"/>
                <w:lang w:val="ru-RU" w:eastAsia="ru-RU" w:bidi="ar-SA"/>
              </w:rPr>
            </w:pPr>
            <w:r>
              <w:rPr>
                <w:rFonts w:eastAsia="Times New Roman" w:cs="Times New Roman"/>
                <w:color w:val="auto"/>
                <w:kern w:val="0"/>
                <w:sz w:val="24"/>
                <w:szCs w:val="24"/>
                <w:vertAlign w:val="superscript"/>
                <w:lang w:val="ru-RU" w:eastAsia="ru-RU" w:bidi="ar-SA"/>
              </w:rPr>
              <w:t>Утверждено Решением о бюджете на 2023год (в редакции от 28.12.2023 № 60), рублей</w:t>
            </w:r>
          </w:p>
        </w:tc>
        <w:tc>
          <w:tcPr>
            <w:tcW w:w="1778" w:type="dxa"/>
            <w:tcBorders/>
          </w:tcPr>
          <w:p>
            <w:pPr>
              <w:pStyle w:val="Normal"/>
              <w:widowControl w:val="false"/>
              <w:suppressAutoHyphens w:val="true"/>
              <w:spacing w:lineRule="atLeast" w:line="360" w:before="0" w:after="0"/>
              <w:jc w:val="both"/>
              <w:textAlignment w:val="baseline"/>
              <w:rPr>
                <w:rFonts w:ascii="Times New Roman" w:hAnsi="Times New Roman" w:eastAsia="Times New Roman" w:cs="Times New Roman"/>
                <w:color w:val="auto"/>
                <w:kern w:val="0"/>
                <w:sz w:val="24"/>
                <w:szCs w:val="24"/>
                <w:vertAlign w:val="superscript"/>
                <w:lang w:val="ru-RU" w:eastAsia="ru-RU" w:bidi="ar-SA"/>
              </w:rPr>
            </w:pPr>
            <w:r>
              <w:rPr>
                <w:rFonts w:eastAsia="Times New Roman" w:cs="Times New Roman"/>
                <w:color w:val="auto"/>
                <w:kern w:val="0"/>
                <w:sz w:val="24"/>
                <w:szCs w:val="24"/>
                <w:vertAlign w:val="superscript"/>
                <w:lang w:val="ru-RU" w:eastAsia="ru-RU" w:bidi="ar-SA"/>
              </w:rPr>
              <w:t>Исполнено,</w:t>
            </w:r>
          </w:p>
          <w:p>
            <w:pPr>
              <w:pStyle w:val="Normal"/>
              <w:widowControl w:val="false"/>
              <w:suppressAutoHyphens w:val="true"/>
              <w:spacing w:lineRule="atLeast" w:line="360" w:before="0" w:after="0"/>
              <w:jc w:val="both"/>
              <w:textAlignment w:val="baseline"/>
              <w:rPr>
                <w:rFonts w:ascii="Times New Roman" w:hAnsi="Times New Roman" w:eastAsia="Times New Roman" w:cs="Times New Roman"/>
                <w:color w:val="auto"/>
                <w:kern w:val="0"/>
                <w:sz w:val="24"/>
                <w:szCs w:val="24"/>
                <w:vertAlign w:val="superscript"/>
                <w:lang w:val="ru-RU" w:eastAsia="ru-RU" w:bidi="ar-SA"/>
              </w:rPr>
            </w:pPr>
            <w:r>
              <w:rPr>
                <w:rFonts w:eastAsia="Times New Roman" w:cs="Times New Roman"/>
                <w:color w:val="auto"/>
                <w:kern w:val="0"/>
                <w:sz w:val="24"/>
                <w:szCs w:val="24"/>
                <w:vertAlign w:val="superscript"/>
                <w:lang w:val="ru-RU" w:eastAsia="ru-RU" w:bidi="ar-SA"/>
              </w:rPr>
              <w:t>Проект решения об исполнении бюджета за 2023 год</w:t>
            </w:r>
          </w:p>
        </w:tc>
        <w:tc>
          <w:tcPr>
            <w:tcW w:w="1713" w:type="dxa"/>
            <w:tcBorders/>
          </w:tcPr>
          <w:p>
            <w:pPr>
              <w:pStyle w:val="ListParagraph"/>
              <w:widowControl w:val="false"/>
              <w:suppressAutoHyphens w:val="true"/>
              <w:spacing w:before="0" w:after="200"/>
              <w:ind w:left="0" w:right="-1" w:hanging="0"/>
              <w:contextualSpacing/>
              <w:jc w:val="both"/>
              <w:rPr>
                <w:rFonts w:ascii="Times New Roman" w:hAnsi="Times New Roman"/>
                <w:sz w:val="24"/>
                <w:szCs w:val="24"/>
                <w:vertAlign w:val="superscript"/>
              </w:rPr>
            </w:pPr>
            <w:r>
              <w:rPr>
                <w:rFonts w:cs="Times New Roman" w:ascii="Times New Roman" w:hAnsi="Times New Roman"/>
                <w:kern w:val="0"/>
                <w:sz w:val="24"/>
                <w:szCs w:val="24"/>
                <w:vertAlign w:val="superscript"/>
                <w:lang w:val="ru-RU" w:bidi="ar-SA"/>
              </w:rPr>
              <w:t>Удельный вес, в общем объеме расходов, %</w:t>
            </w:r>
          </w:p>
        </w:tc>
        <w:tc>
          <w:tcPr>
            <w:tcW w:w="1759" w:type="dxa"/>
            <w:tcBorders/>
          </w:tcPr>
          <w:p>
            <w:pPr>
              <w:pStyle w:val="ListParagraph"/>
              <w:widowControl w:val="false"/>
              <w:suppressAutoHyphens w:val="true"/>
              <w:spacing w:before="0" w:after="200"/>
              <w:ind w:left="0" w:right="-1" w:hanging="0"/>
              <w:contextualSpacing/>
              <w:jc w:val="both"/>
              <w:rPr>
                <w:rFonts w:ascii="Times New Roman" w:hAnsi="Times New Roman"/>
                <w:sz w:val="24"/>
                <w:szCs w:val="24"/>
                <w:vertAlign w:val="superscript"/>
              </w:rPr>
            </w:pPr>
            <w:r>
              <w:rPr>
                <w:rFonts w:cs="Times New Roman" w:ascii="Times New Roman" w:hAnsi="Times New Roman"/>
                <w:kern w:val="0"/>
                <w:sz w:val="24"/>
                <w:szCs w:val="24"/>
                <w:vertAlign w:val="superscript"/>
                <w:lang w:val="ru-RU" w:bidi="ar-SA"/>
              </w:rPr>
              <w:t>Процент исполнения, %</w:t>
            </w:r>
          </w:p>
        </w:tc>
      </w:tr>
      <w:tr>
        <w:trPr/>
        <w:tc>
          <w:tcPr>
            <w:tcW w:w="2551"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0100</w:t>
            </w:r>
          </w:p>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Общегосударственные вопросы</w:t>
            </w:r>
          </w:p>
        </w:tc>
        <w:tc>
          <w:tcPr>
            <w:tcW w:w="1769"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5 809 080,40</w:t>
            </w:r>
          </w:p>
        </w:tc>
        <w:tc>
          <w:tcPr>
            <w:tcW w:w="1778"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5 800 950,40</w:t>
            </w:r>
          </w:p>
        </w:tc>
        <w:tc>
          <w:tcPr>
            <w:tcW w:w="1713"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27,84</w:t>
            </w:r>
          </w:p>
        </w:tc>
        <w:tc>
          <w:tcPr>
            <w:tcW w:w="1759"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99,86</w:t>
            </w:r>
          </w:p>
        </w:tc>
      </w:tr>
      <w:tr>
        <w:trPr/>
        <w:tc>
          <w:tcPr>
            <w:tcW w:w="2551"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0200</w:t>
            </w:r>
          </w:p>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Национальная оборона</w:t>
            </w:r>
          </w:p>
        </w:tc>
        <w:tc>
          <w:tcPr>
            <w:tcW w:w="1769"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144 090,00</w:t>
            </w:r>
          </w:p>
        </w:tc>
        <w:tc>
          <w:tcPr>
            <w:tcW w:w="1778"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144 090,00</w:t>
            </w:r>
          </w:p>
        </w:tc>
        <w:tc>
          <w:tcPr>
            <w:tcW w:w="1713"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0,69</w:t>
            </w:r>
          </w:p>
        </w:tc>
        <w:tc>
          <w:tcPr>
            <w:tcW w:w="1759" w:type="dxa"/>
            <w:tcBorders/>
          </w:tcPr>
          <w:p>
            <w:pPr>
              <w:pStyle w:val="Normal"/>
              <w:widowControl w:val="false"/>
              <w:suppressAutoHyphens w:val="true"/>
              <w:spacing w:before="0" w:after="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100,00</w:t>
            </w:r>
          </w:p>
        </w:tc>
      </w:tr>
      <w:tr>
        <w:trPr/>
        <w:tc>
          <w:tcPr>
            <w:tcW w:w="2551"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0300</w:t>
            </w:r>
          </w:p>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Национальная безопасность и правоохранительная деятельность</w:t>
            </w:r>
          </w:p>
        </w:tc>
        <w:tc>
          <w:tcPr>
            <w:tcW w:w="1769"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37 500,00</w:t>
            </w:r>
          </w:p>
        </w:tc>
        <w:tc>
          <w:tcPr>
            <w:tcW w:w="1778"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37 500,00</w:t>
            </w:r>
          </w:p>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0"/>
                <w:szCs w:val="24"/>
                <w:lang w:val="ru-RU" w:eastAsia="ru-RU" w:bidi="ar-SA"/>
              </w:rPr>
            </w:r>
          </w:p>
        </w:tc>
        <w:tc>
          <w:tcPr>
            <w:tcW w:w="1713"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0,18</w:t>
            </w:r>
          </w:p>
        </w:tc>
        <w:tc>
          <w:tcPr>
            <w:tcW w:w="1759" w:type="dxa"/>
            <w:tcBorders/>
          </w:tcPr>
          <w:p>
            <w:pPr>
              <w:pStyle w:val="Normal"/>
              <w:widowControl w:val="false"/>
              <w:suppressAutoHyphens w:val="true"/>
              <w:spacing w:before="0" w:after="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100,00</w:t>
            </w:r>
          </w:p>
        </w:tc>
      </w:tr>
      <w:tr>
        <w:trPr/>
        <w:tc>
          <w:tcPr>
            <w:tcW w:w="2551"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0400</w:t>
            </w:r>
          </w:p>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Национальная экономика</w:t>
            </w:r>
          </w:p>
        </w:tc>
        <w:tc>
          <w:tcPr>
            <w:tcW w:w="1769"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12 772 712,32</w:t>
            </w:r>
          </w:p>
        </w:tc>
        <w:tc>
          <w:tcPr>
            <w:tcW w:w="1778"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12 335 537,56</w:t>
            </w:r>
          </w:p>
        </w:tc>
        <w:tc>
          <w:tcPr>
            <w:tcW w:w="1713"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59,20</w:t>
            </w:r>
          </w:p>
        </w:tc>
        <w:tc>
          <w:tcPr>
            <w:tcW w:w="1759"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96,58</w:t>
            </w:r>
          </w:p>
        </w:tc>
      </w:tr>
      <w:tr>
        <w:trPr/>
        <w:tc>
          <w:tcPr>
            <w:tcW w:w="2551"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0500</w:t>
            </w:r>
          </w:p>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bookmarkStart w:id="6" w:name="OLE_LINK2"/>
            <w:bookmarkStart w:id="7" w:name="OLE_LINK1"/>
            <w:r>
              <w:rPr>
                <w:rFonts w:eastAsia="Times New Roman" w:cs="Times New Roman"/>
                <w:kern w:val="0"/>
                <w:sz w:val="24"/>
                <w:szCs w:val="24"/>
                <w:vertAlign w:val="superscript"/>
                <w:lang w:val="ru-RU" w:eastAsia="ru-RU" w:bidi="ar-SA"/>
              </w:rPr>
              <w:t>Жилищно-коммунальное хозяйство</w:t>
            </w:r>
            <w:bookmarkEnd w:id="6"/>
            <w:bookmarkEnd w:id="7"/>
          </w:p>
        </w:tc>
        <w:tc>
          <w:tcPr>
            <w:tcW w:w="1769"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696 517,22</w:t>
            </w:r>
          </w:p>
        </w:tc>
        <w:tc>
          <w:tcPr>
            <w:tcW w:w="1778"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696 517,22</w:t>
            </w:r>
          </w:p>
        </w:tc>
        <w:tc>
          <w:tcPr>
            <w:tcW w:w="1713"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3,34</w:t>
            </w:r>
          </w:p>
        </w:tc>
        <w:tc>
          <w:tcPr>
            <w:tcW w:w="1759" w:type="dxa"/>
            <w:tcBorders/>
          </w:tcPr>
          <w:p>
            <w:pPr>
              <w:pStyle w:val="Normal"/>
              <w:widowControl w:val="false"/>
              <w:suppressAutoHyphens w:val="true"/>
              <w:spacing w:before="0" w:after="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100,00</w:t>
            </w:r>
          </w:p>
        </w:tc>
      </w:tr>
      <w:tr>
        <w:trPr/>
        <w:tc>
          <w:tcPr>
            <w:tcW w:w="2551"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0800</w:t>
            </w:r>
          </w:p>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Культура, кинематография</w:t>
            </w:r>
          </w:p>
        </w:tc>
        <w:tc>
          <w:tcPr>
            <w:tcW w:w="1769"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1 552 761,09</w:t>
            </w:r>
          </w:p>
        </w:tc>
        <w:tc>
          <w:tcPr>
            <w:tcW w:w="1778"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1 552 761,09</w:t>
            </w:r>
          </w:p>
        </w:tc>
        <w:tc>
          <w:tcPr>
            <w:tcW w:w="1713"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7,45</w:t>
            </w:r>
          </w:p>
        </w:tc>
        <w:tc>
          <w:tcPr>
            <w:tcW w:w="1759"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100,00</w:t>
            </w:r>
          </w:p>
        </w:tc>
      </w:tr>
      <w:tr>
        <w:trPr/>
        <w:tc>
          <w:tcPr>
            <w:tcW w:w="2551"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1000</w:t>
            </w:r>
          </w:p>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Социальная политика</w:t>
            </w:r>
          </w:p>
        </w:tc>
        <w:tc>
          <w:tcPr>
            <w:tcW w:w="1769"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91 501,20</w:t>
            </w:r>
          </w:p>
        </w:tc>
        <w:tc>
          <w:tcPr>
            <w:tcW w:w="1778"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90 807,96</w:t>
            </w:r>
          </w:p>
        </w:tc>
        <w:tc>
          <w:tcPr>
            <w:tcW w:w="1713"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0,44</w:t>
            </w:r>
          </w:p>
        </w:tc>
        <w:tc>
          <w:tcPr>
            <w:tcW w:w="1759" w:type="dxa"/>
            <w:tcBorders/>
          </w:tcPr>
          <w:p>
            <w:pPr>
              <w:pStyle w:val="Normal"/>
              <w:widowControl w:val="false"/>
              <w:suppressAutoHyphens w:val="true"/>
              <w:spacing w:before="0" w:after="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99,24</w:t>
            </w:r>
          </w:p>
        </w:tc>
      </w:tr>
      <w:tr>
        <w:trPr/>
        <w:tc>
          <w:tcPr>
            <w:tcW w:w="2551"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1100</w:t>
            </w:r>
          </w:p>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Физическая культура и спорт</w:t>
            </w:r>
          </w:p>
        </w:tc>
        <w:tc>
          <w:tcPr>
            <w:tcW w:w="1769"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179 576,60</w:t>
            </w:r>
          </w:p>
        </w:tc>
        <w:tc>
          <w:tcPr>
            <w:tcW w:w="1778"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179 576,60</w:t>
            </w:r>
          </w:p>
        </w:tc>
        <w:tc>
          <w:tcPr>
            <w:tcW w:w="1713"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0,86</w:t>
            </w:r>
          </w:p>
        </w:tc>
        <w:tc>
          <w:tcPr>
            <w:tcW w:w="1759" w:type="dxa"/>
            <w:tcBorders/>
          </w:tcPr>
          <w:p>
            <w:pPr>
              <w:pStyle w:val="Normal"/>
              <w:widowControl w:val="false"/>
              <w:suppressAutoHyphens w:val="true"/>
              <w:spacing w:before="0" w:after="0"/>
              <w:jc w:val="both"/>
              <w:rPr>
                <w:rFonts w:ascii="Times New Roman" w:hAnsi="Times New Roman" w:eastAsia="Times New Roman" w:cs="Times New Roman"/>
                <w:kern w:val="0"/>
                <w:sz w:val="24"/>
                <w:szCs w:val="24"/>
                <w:lang w:val="ru-RU" w:eastAsia="ru-RU" w:bidi="ar-SA"/>
              </w:rPr>
            </w:pPr>
            <w:r>
              <w:rPr>
                <w:rFonts w:eastAsia="Times New Roman" w:cs="Times New Roman"/>
                <w:kern w:val="0"/>
                <w:sz w:val="24"/>
                <w:szCs w:val="24"/>
                <w:vertAlign w:val="superscript"/>
                <w:lang w:val="ru-RU" w:eastAsia="ru-RU" w:bidi="ar-SA"/>
              </w:rPr>
              <w:t>100,00</w:t>
            </w:r>
          </w:p>
        </w:tc>
      </w:tr>
      <w:tr>
        <w:trPr/>
        <w:tc>
          <w:tcPr>
            <w:tcW w:w="2551"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b/>
                <w:kern w:val="0"/>
                <w:sz w:val="24"/>
                <w:szCs w:val="24"/>
                <w:vertAlign w:val="superscript"/>
                <w:lang w:val="ru-RU" w:eastAsia="ru-RU" w:bidi="ar-SA"/>
              </w:rPr>
              <w:t>Итого</w:t>
            </w:r>
          </w:p>
        </w:tc>
        <w:tc>
          <w:tcPr>
            <w:tcW w:w="1769"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b/>
                <w:kern w:val="0"/>
                <w:sz w:val="24"/>
                <w:szCs w:val="24"/>
                <w:vertAlign w:val="superscript"/>
                <w:lang w:val="ru-RU" w:eastAsia="ru-RU" w:bidi="ar-SA"/>
              </w:rPr>
              <w:t>21 283 738,83</w:t>
            </w:r>
          </w:p>
        </w:tc>
        <w:tc>
          <w:tcPr>
            <w:tcW w:w="1778"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b/>
                <w:kern w:val="0"/>
                <w:sz w:val="24"/>
                <w:szCs w:val="24"/>
                <w:vertAlign w:val="superscript"/>
                <w:lang w:val="ru-RU" w:eastAsia="ru-RU" w:bidi="ar-SA"/>
              </w:rPr>
              <w:t>20 837 740,83</w:t>
            </w:r>
          </w:p>
        </w:tc>
        <w:tc>
          <w:tcPr>
            <w:tcW w:w="1713"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b/>
                <w:kern w:val="0"/>
                <w:sz w:val="24"/>
                <w:szCs w:val="24"/>
                <w:vertAlign w:val="superscript"/>
                <w:lang w:val="ru-RU" w:eastAsia="ru-RU" w:bidi="ar-SA"/>
              </w:rPr>
              <w:t>100,00</w:t>
            </w:r>
          </w:p>
        </w:tc>
        <w:tc>
          <w:tcPr>
            <w:tcW w:w="1759" w:type="dxa"/>
            <w:tcBorders/>
          </w:tcPr>
          <w:p>
            <w:pPr>
              <w:pStyle w:val="Normal"/>
              <w:widowControl w:val="false"/>
              <w:suppressAutoHyphens w:val="true"/>
              <w:spacing w:before="0" w:after="0"/>
              <w:ind w:right="-1" w:hanging="0"/>
              <w:jc w:val="both"/>
              <w:rPr>
                <w:rFonts w:ascii="Times New Roman" w:hAnsi="Times New Roman" w:eastAsia="Times New Roman" w:cs="Times New Roman"/>
                <w:kern w:val="0"/>
                <w:sz w:val="24"/>
                <w:szCs w:val="24"/>
                <w:lang w:val="ru-RU" w:eastAsia="ru-RU" w:bidi="ar-SA"/>
              </w:rPr>
            </w:pPr>
            <w:r>
              <w:rPr>
                <w:rFonts w:eastAsia="Times New Roman" w:cs="Times New Roman"/>
                <w:b/>
                <w:kern w:val="0"/>
                <w:sz w:val="24"/>
                <w:szCs w:val="24"/>
                <w:vertAlign w:val="superscript"/>
                <w:lang w:val="ru-RU" w:eastAsia="ru-RU" w:bidi="ar-SA"/>
              </w:rPr>
              <w:t>97,90</w:t>
            </w:r>
          </w:p>
        </w:tc>
      </w:tr>
    </w:tbl>
    <w:p>
      <w:pPr>
        <w:pStyle w:val="Normal"/>
        <w:widowControl w:val="false"/>
        <w:ind w:firstLine="709"/>
        <w:jc w:val="both"/>
        <w:rPr/>
      </w:pPr>
      <w:r>
        <w:rPr/>
        <w:t>Расходная часть бюджета поселения за 2023 год исполнена на 97,90% к уточненному плану.</w:t>
      </w:r>
    </w:p>
    <w:p>
      <w:pPr>
        <w:pStyle w:val="Normal"/>
        <w:widowControl w:val="false"/>
        <w:ind w:firstLine="709"/>
        <w:jc w:val="both"/>
        <w:rPr/>
      </w:pPr>
      <w:bookmarkStart w:id="8" w:name="OLE_LINK18"/>
      <w:bookmarkStart w:id="9" w:name="OLE_LINK17"/>
      <w:r>
        <w:rPr/>
        <w:t>Основная доля расходов бюджета поселения приходится на разделы «Национальная экономика» -59,20%, «Общегосударственные вопросы» -27,84%, «Культура, кинематография»-7,45%.</w:t>
      </w:r>
      <w:bookmarkStart w:id="10" w:name="OLE_LINK9"/>
      <w:bookmarkStart w:id="11" w:name="OLE_LINK10"/>
      <w:bookmarkEnd w:id="8"/>
      <w:bookmarkEnd w:id="9"/>
      <w:bookmarkEnd w:id="10"/>
      <w:bookmarkEnd w:id="11"/>
    </w:p>
    <w:p>
      <w:pPr>
        <w:pStyle w:val="Normal"/>
        <w:widowControl w:val="false"/>
        <w:ind w:firstLine="709"/>
        <w:jc w:val="both"/>
        <w:rPr>
          <w:rFonts w:eastAsia="Calibri"/>
        </w:rPr>
      </w:pPr>
      <w:r>
        <w:rPr>
          <w:rFonts w:eastAsia="Calibri"/>
        </w:rPr>
        <w:t>Плановые назначения в 2023 году не выполнены по разделу бюджетной классификации:</w:t>
      </w:r>
    </w:p>
    <w:p>
      <w:pPr>
        <w:pStyle w:val="Normal"/>
        <w:widowControl w:val="false"/>
        <w:ind w:firstLine="709"/>
        <w:jc w:val="both"/>
        <w:rPr>
          <w:rFonts w:eastAsia="Calibri"/>
        </w:rPr>
      </w:pPr>
      <w:r>
        <w:rPr/>
        <w:t>«Общегосударственные вопросы» на 0,14%;</w:t>
      </w:r>
    </w:p>
    <w:p>
      <w:pPr>
        <w:pStyle w:val="Normal"/>
        <w:widowControl w:val="false"/>
        <w:ind w:firstLine="709"/>
        <w:jc w:val="both"/>
        <w:rPr/>
      </w:pPr>
      <w:r>
        <w:rPr>
          <w:rFonts w:eastAsia="Calibri"/>
        </w:rPr>
        <w:t>«</w:t>
      </w:r>
      <w:r>
        <w:rPr/>
        <w:t xml:space="preserve">Национальная экономика» на 3,42%; </w:t>
      </w:r>
    </w:p>
    <w:p>
      <w:pPr>
        <w:pStyle w:val="Normal"/>
        <w:widowControl w:val="false"/>
        <w:ind w:firstLine="709"/>
        <w:jc w:val="both"/>
        <w:rPr/>
      </w:pPr>
      <w:r>
        <w:rPr/>
        <w:t>«Культура, кинематография» на 0,76%.</w:t>
      </w:r>
    </w:p>
    <w:p>
      <w:pPr>
        <w:pStyle w:val="Normal"/>
        <w:widowControl w:val="false"/>
        <w:ind w:firstLine="709"/>
        <w:jc w:val="both"/>
        <w:rPr/>
      </w:pPr>
      <w:r>
        <w:rPr/>
        <w:t>По данным (ф.0503164) исполнение на уровне ниже 95% планого значения отсутствует.</w:t>
      </w:r>
    </w:p>
    <w:p>
      <w:pPr>
        <w:pStyle w:val="Normal"/>
        <w:widowControl w:val="false"/>
        <w:ind w:firstLine="709"/>
        <w:jc w:val="both"/>
        <w:rPr>
          <w:rFonts w:eastAsia="Calibri"/>
        </w:rPr>
      </w:pPr>
      <w:r>
        <w:rPr>
          <w:rFonts w:eastAsia="Calibri"/>
        </w:rPr>
        <w:t>Исполнение расходов в течение отчетного периода осуществлялось программным методом.</w:t>
      </w:r>
    </w:p>
    <w:p>
      <w:pPr>
        <w:pStyle w:val="Normal"/>
        <w:widowControl w:val="false"/>
        <w:ind w:firstLine="709"/>
        <w:jc w:val="both"/>
        <w:rPr/>
      </w:pPr>
      <w:r>
        <w:rPr>
          <w:rFonts w:eastAsia="Calibri"/>
        </w:rPr>
        <w:t>М</w:t>
      </w:r>
      <w:r>
        <w:rPr/>
        <w:t>униципальная программа "Развитие социально-культурной сферы Соловьевского сельского поселения Полтавского муниципального района Омской области"исполнена на 100,00% плановых назначений в сумме 442 425,12 рублей.</w:t>
      </w:r>
    </w:p>
    <w:p>
      <w:pPr>
        <w:pStyle w:val="Normal"/>
        <w:widowControl w:val="false"/>
        <w:ind w:firstLine="709"/>
        <w:jc w:val="both"/>
        <w:rPr/>
      </w:pPr>
      <w:r>
        <w:rPr>
          <w:rFonts w:eastAsia="Calibri"/>
        </w:rPr>
        <w:t>М</w:t>
      </w:r>
      <w:r>
        <w:rPr/>
        <w:t>униципальная программа "Развитие экономического потенциала Соловьевского сельского поселения Полтавского муниципального района Омской области" исполнена в сумме 20 395 315,71 рублей.</w:t>
      </w:r>
    </w:p>
    <w:p>
      <w:pPr>
        <w:pStyle w:val="Normal"/>
        <w:widowControl w:val="false"/>
        <w:ind w:firstLine="709"/>
        <w:jc w:val="both"/>
        <w:rPr>
          <w:rFonts w:eastAsia="Calibri"/>
        </w:rPr>
      </w:pPr>
      <w:r>
        <w:rPr>
          <w:rFonts w:eastAsia="Calibri"/>
        </w:rPr>
      </w:r>
    </w:p>
    <w:p>
      <w:pPr>
        <w:pStyle w:val="Normal"/>
        <w:widowControl w:val="false"/>
        <w:ind w:right="-1" w:hanging="0"/>
        <w:jc w:val="center"/>
        <w:rPr>
          <w:rFonts w:eastAsia="Calibri"/>
          <w:b/>
          <w:b/>
        </w:rPr>
      </w:pPr>
      <w:r>
        <w:rPr>
          <w:rFonts w:eastAsia="Calibri"/>
          <w:b/>
        </w:rPr>
        <w:t>6. Источики внутреннего финансирования дефицита бюджета поселения.</w:t>
      </w:r>
    </w:p>
    <w:p>
      <w:pPr>
        <w:pStyle w:val="Normal"/>
        <w:widowControl w:val="false"/>
        <w:ind w:right="-1" w:firstLine="709"/>
        <w:jc w:val="both"/>
        <w:rPr>
          <w:rFonts w:eastAsia="Calibri"/>
        </w:rPr>
      </w:pPr>
      <w:r>
        <w:rPr>
          <w:rFonts w:eastAsia="Calibri"/>
        </w:rPr>
        <w:t xml:space="preserve"> </w:t>
      </w:r>
      <w:r>
        <w:rPr>
          <w:rFonts w:eastAsia="Calibri"/>
        </w:rPr>
        <w:t xml:space="preserve">По данным отчета об исполнении бюджета (ф.0503117) в 2023 году бюджет поселения исполнен с дефицитом в сумме 1 093 633,85  рублей, который направлен на уменьшение </w:t>
      </w:r>
      <w:r>
        <w:rPr>
          <w:color w:val="000000"/>
        </w:rPr>
        <w:t>остатков средств на счете по учету средств местного бюджета.</w:t>
      </w:r>
    </w:p>
    <w:p>
      <w:pPr>
        <w:pStyle w:val="Normal"/>
        <w:ind w:firstLine="709"/>
        <w:jc w:val="both"/>
        <w:rPr/>
      </w:pPr>
      <w:r>
        <w:rPr/>
        <w:t>Муниципальный внутренний долг бюджета поселения по состоянию на 01.01.2024г отсутствовал.</w:t>
      </w:r>
    </w:p>
    <w:p>
      <w:pPr>
        <w:pStyle w:val="Normal"/>
        <w:ind w:firstLine="709"/>
        <w:jc w:val="both"/>
        <w:rPr/>
      </w:pPr>
      <w:r>
        <w:rPr/>
        <w:t>Администрацией сельского поселения в 2023 году муниципальные гарантии предприятиям и организациям не представлялись.</w:t>
      </w:r>
    </w:p>
    <w:p>
      <w:pPr>
        <w:pStyle w:val="Normal"/>
        <w:widowControl w:val="false"/>
        <w:ind w:firstLine="709"/>
        <w:jc w:val="both"/>
        <w:rPr>
          <w:rFonts w:eastAsia="Calibri"/>
        </w:rPr>
      </w:pPr>
      <w:r>
        <w:rPr>
          <w:rFonts w:eastAsia="Calibri"/>
        </w:rPr>
        <w:t>В 2023 году Администрация Соловьевского сельского поселения не принимала участия в реализации национальных проектов (программ).</w:t>
      </w:r>
      <w:bookmarkStart w:id="12" w:name="OLE_LINK11"/>
      <w:bookmarkStart w:id="13" w:name="OLE_LINK12"/>
      <w:bookmarkEnd w:id="12"/>
      <w:bookmarkEnd w:id="13"/>
    </w:p>
    <w:p>
      <w:pPr>
        <w:pStyle w:val="Normal"/>
        <w:widowControl w:val="false"/>
        <w:ind w:firstLine="709"/>
        <w:jc w:val="both"/>
        <w:rPr>
          <w:rFonts w:eastAsia="Calibri"/>
        </w:rPr>
      </w:pPr>
      <w:r>
        <w:rPr>
          <w:rFonts w:eastAsia="Calibri"/>
        </w:rPr>
      </w:r>
    </w:p>
    <w:p>
      <w:pPr>
        <w:pStyle w:val="Normal"/>
        <w:jc w:val="center"/>
        <w:rPr>
          <w:b/>
          <w:b/>
        </w:rPr>
      </w:pPr>
      <w:r>
        <w:rPr>
          <w:b/>
        </w:rPr>
        <w:t>7.Анализ расходования средств резервного фонда</w:t>
      </w:r>
    </w:p>
    <w:p>
      <w:pPr>
        <w:pStyle w:val="ListParagraph"/>
        <w:spacing w:lineRule="auto" w:line="240" w:before="0" w:after="0"/>
        <w:ind w:left="0" w:hanging="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администрации сельского поселения</w:t>
      </w:r>
    </w:p>
    <w:p>
      <w:pPr>
        <w:pStyle w:val="Normal"/>
        <w:ind w:firstLine="709"/>
        <w:jc w:val="both"/>
        <w:rPr/>
      </w:pPr>
      <w:r>
        <w:rPr/>
      </w:r>
    </w:p>
    <w:p>
      <w:pPr>
        <w:pStyle w:val="Normal"/>
        <w:ind w:firstLine="709"/>
        <w:jc w:val="both"/>
        <w:rPr/>
      </w:pPr>
      <w:r>
        <w:rPr/>
        <w:t>Согласно отчета об использовании бюджетных ассигнований резервного фонда выплат в 2023 году не производилось.</w:t>
      </w:r>
    </w:p>
    <w:p>
      <w:pPr>
        <w:pStyle w:val="Normal"/>
        <w:ind w:firstLine="709"/>
        <w:jc w:val="both"/>
        <w:rPr/>
      </w:pPr>
      <w:r>
        <w:rPr/>
      </w:r>
    </w:p>
    <w:p>
      <w:pPr>
        <w:pStyle w:val="Normal"/>
        <w:jc w:val="center"/>
        <w:rPr>
          <w:b/>
          <w:b/>
        </w:rPr>
      </w:pPr>
      <w:r>
        <w:rPr>
          <w:b/>
        </w:rPr>
        <w:t xml:space="preserve">8.Анализ расходования средств дорожного фонда бюджета </w:t>
      </w:r>
      <w:r>
        <w:rPr>
          <w:b/>
          <w:color w:val="333333"/>
        </w:rPr>
        <w:t>Соловьев</w:t>
      </w:r>
      <w:r>
        <w:rPr>
          <w:b/>
        </w:rPr>
        <w:t>ского сельского поселения</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 xml:space="preserve">Остаток средств дорожного фонда </w:t>
      </w:r>
      <w:r>
        <w:rPr>
          <w:rFonts w:ascii="Times New Roman" w:hAnsi="Times New Roman"/>
          <w:color w:val="333333"/>
          <w:sz w:val="24"/>
          <w:szCs w:val="24"/>
        </w:rPr>
        <w:t>Соловье</w:t>
      </w:r>
      <w:r>
        <w:rPr>
          <w:rFonts w:ascii="Times New Roman" w:hAnsi="Times New Roman"/>
          <w:color w:val="333333"/>
          <w:sz w:val="24"/>
          <w:szCs w:val="24"/>
        </w:rPr>
        <w:t>в</w:t>
      </w:r>
      <w:r>
        <w:rPr>
          <w:rFonts w:ascii="Times New Roman" w:hAnsi="Times New Roman"/>
          <w:sz w:val="24"/>
          <w:szCs w:val="24"/>
        </w:rPr>
        <w:t>ского сельского поселения на 01.01.2024 г составил 537 204,70  рублей.</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Плановые назначения поступлений доходов от акцизов на нефтепродукты выполнены на 109,89%, в сумме 1 394 071,28 рублей.</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Субсидия из областного бюджета на монтаж (устройство) недостающих средств организации и регулирования дорожного движения в местах пешех</w:t>
      </w:r>
      <w:r>
        <w:rPr>
          <w:rFonts w:ascii="Times New Roman" w:hAnsi="Times New Roman"/>
          <w:sz w:val="24"/>
          <w:szCs w:val="24"/>
        </w:rPr>
        <w:t>о</w:t>
      </w:r>
      <w:r>
        <w:rPr>
          <w:rFonts w:ascii="Times New Roman" w:hAnsi="Times New Roman"/>
          <w:sz w:val="24"/>
          <w:szCs w:val="24"/>
        </w:rPr>
        <w:t>дных переходов поступила в сумме 8 809 999,92 рублей.</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Иные межбюджетные трансферты из бюджета Полтавского муниципального района на содержание автомобильных дорог поступили в объеме 338 097,44 рублей.</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Расходы дорожного фонда при плановых значениях 12 547 563,64 рублей составили 12 110 388,88</w:t>
      </w:r>
      <w:bookmarkStart w:id="14" w:name="OLE_LINK13"/>
      <w:bookmarkStart w:id="15" w:name="OLE_LINK14"/>
      <w:bookmarkStart w:id="16" w:name="OLE_LINK3"/>
      <w:bookmarkStart w:id="17" w:name="OLE_LINK4"/>
      <w:r>
        <w:rPr>
          <w:rFonts w:ascii="Times New Roman" w:hAnsi="Times New Roman"/>
          <w:sz w:val="24"/>
          <w:szCs w:val="24"/>
        </w:rPr>
        <w:t xml:space="preserve"> </w:t>
      </w:r>
      <w:bookmarkEnd w:id="16"/>
      <w:bookmarkEnd w:id="17"/>
      <w:r>
        <w:rPr>
          <w:rFonts w:ascii="Times New Roman" w:hAnsi="Times New Roman"/>
          <w:sz w:val="24"/>
          <w:szCs w:val="24"/>
        </w:rPr>
        <w:t>рублей или 96,52%</w:t>
      </w:r>
      <w:bookmarkEnd w:id="14"/>
      <w:bookmarkEnd w:id="15"/>
      <w:r>
        <w:rPr>
          <w:rFonts w:ascii="Times New Roman" w:hAnsi="Times New Roman"/>
          <w:sz w:val="24"/>
          <w:szCs w:val="24"/>
        </w:rPr>
        <w:t>, расходы произведены «по факту», на основании актов выполненных работ.</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Остаток средств на едином счете поселения на конец отчетного периода составил 2 947 499,38 рублей, из них средства дорожного фонда 0,00 рублей (остаток 537 204,70+акцизы 1 394 071,28+ субсидия 8 809 999,92+ ИМТ 338 097,44 +собственные средства 1 031 015,54– расход 12 110 388,88).</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Средства дорожного фонда согласно пояснительной записки направлены на</w:t>
      </w:r>
    </w:p>
    <w:p>
      <w:pPr>
        <w:pStyle w:val="Normal"/>
        <w:suppressAutoHyphens w:val="false"/>
        <w:jc w:val="center"/>
        <w:rPr>
          <w:rFonts w:eastAsia="Noto Sans CJK SC"/>
          <w:color w:val="000000"/>
        </w:rPr>
      </w:pPr>
      <w:r>
        <w:rPr>
          <w:rFonts w:eastAsia="Noto Sans CJK SC"/>
          <w:color w:val="000000"/>
        </w:rPr>
        <w:t>содержание, ремонт, капитальный ремонт внутрипоселковых автомобильных дорог и сооружений на них, проведение отдельных мероприятий, связанных с дорожным хозяйством .</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Средства дорожного фонда использованы по целевому направлению.</w:t>
      </w:r>
    </w:p>
    <w:p>
      <w:pPr>
        <w:pStyle w:val="Normal"/>
        <w:jc w:val="center"/>
        <w:rPr>
          <w:b/>
          <w:b/>
        </w:rPr>
      </w:pPr>
      <w:r>
        <w:rPr>
          <w:b/>
        </w:rPr>
      </w:r>
    </w:p>
    <w:p>
      <w:pPr>
        <w:pStyle w:val="Normal"/>
        <w:jc w:val="center"/>
        <w:rPr>
          <w:b/>
          <w:b/>
        </w:rPr>
      </w:pPr>
      <w:r>
        <w:rPr>
          <w:b/>
        </w:rPr>
        <w:t xml:space="preserve">9.Результаты внешней проверки годовой бюджетной отчетности </w:t>
      </w:r>
      <w:r>
        <w:rPr>
          <w:b/>
          <w:color w:val="333333"/>
        </w:rPr>
        <w:t>Соловье</w:t>
      </w:r>
      <w:r>
        <w:rPr>
          <w:b/>
        </w:rPr>
        <w:t>вского сельского поселения.</w:t>
      </w:r>
    </w:p>
    <w:p>
      <w:pPr>
        <w:pStyle w:val="Normal"/>
        <w:ind w:firstLine="709"/>
        <w:jc w:val="both"/>
        <w:rPr>
          <w:b/>
          <w:b/>
        </w:rPr>
      </w:pPr>
      <w:r>
        <w:rPr/>
        <w:t xml:space="preserve">Оценка достоверности, полноты и своевременности предоставления бюджетной отчетности в составе форм, предусмотренных Инструкцией №191н, осуществлялась путем анализа бюджетной отчетности предоставленной главным администратором доходов бюджета, администратора источника финансирования дефицита бюджета, главного распорядителя, получателя бюджетных средств Администрацией </w:t>
      </w:r>
      <w:r>
        <w:rPr>
          <w:color w:val="333333"/>
        </w:rPr>
        <w:t>Соловьев</w:t>
      </w:r>
      <w:r>
        <w:rPr/>
        <w:t>ского сельского поселения.</w:t>
      </w:r>
    </w:p>
    <w:p>
      <w:pPr>
        <w:pStyle w:val="Normal"/>
        <w:ind w:firstLine="709"/>
        <w:jc w:val="both"/>
        <w:rPr/>
      </w:pPr>
      <w:r>
        <w:rPr/>
        <w:t>По результатам внешней проверки бюджетной отчетности составлено Заключение №5 от 10.04.2024г, в результате проверки установлено, что годовая бюджетная отчетность представлена в составе форм предусмотренных Инструкцией и признана  достоверной</w:t>
      </w:r>
      <w:r>
        <w:rPr>
          <w:rFonts w:eastAsia="Times New Roman" w:cs="Times New Roman"/>
          <w:b/>
          <w:bCs/>
          <w:i w:val="false"/>
          <w:iCs w:val="false"/>
          <w:color w:val="auto"/>
          <w:sz w:val="24"/>
          <w:szCs w:val="24"/>
          <w:lang w:eastAsia="ru-RU"/>
        </w:rPr>
        <w:t>.</w:t>
      </w:r>
      <w:r>
        <w:rPr>
          <w:b/>
          <w:bCs/>
        </w:rPr>
        <w:t xml:space="preserve"> </w:t>
      </w:r>
    </w:p>
    <w:p>
      <w:pPr>
        <w:pStyle w:val="Western"/>
        <w:shd w:val="clear" w:fill="FFFFFF"/>
        <w:spacing w:lineRule="auto" w:line="240" w:beforeAutospacing="0" w:before="0" w:after="0"/>
        <w:ind w:firstLine="709"/>
        <w:jc w:val="both"/>
        <w:rPr>
          <w:b/>
          <w:b/>
          <w:bCs/>
        </w:rPr>
      </w:pPr>
      <w:r>
        <w:rPr>
          <w:rFonts w:eastAsia="Times New Roman" w:cs="Times New Roman" w:ascii="Times New Roman" w:hAnsi="Times New Roman"/>
          <w:b/>
          <w:bCs/>
          <w:i w:val="false"/>
          <w:iCs w:val="false"/>
          <w:color w:val="auto"/>
          <w:sz w:val="24"/>
          <w:szCs w:val="24"/>
          <w:lang w:eastAsia="ru-RU"/>
        </w:rPr>
        <w:t>Установлены случаи неэффективного использования бюджетных средств (нарушение статьи 34 БК РФ) в сумме 375,54 рублей (оплата штрафов за нарушение законодательства о закупках и нарушение условий контрактов (договоров)).</w:t>
      </w:r>
    </w:p>
    <w:p>
      <w:pPr>
        <w:pStyle w:val="Normal"/>
        <w:jc w:val="both"/>
        <w:rPr/>
      </w:pPr>
      <w:r>
        <w:rPr/>
      </w:r>
    </w:p>
    <w:p>
      <w:pPr>
        <w:pStyle w:val="Normal"/>
        <w:jc w:val="center"/>
        <w:rPr>
          <w:b/>
          <w:b/>
        </w:rPr>
      </w:pPr>
      <w:r>
        <w:rPr>
          <w:b/>
        </w:rPr>
        <w:t>10.Выводы.</w:t>
      </w:r>
    </w:p>
    <w:p>
      <w:pPr>
        <w:pStyle w:val="Normal"/>
        <w:ind w:firstLine="709"/>
        <w:jc w:val="both"/>
        <w:rPr/>
      </w:pPr>
      <w:r>
        <w:rPr/>
        <w:t xml:space="preserve">1.Бюджет </w:t>
      </w:r>
      <w:r>
        <w:rPr>
          <w:color w:val="333333"/>
        </w:rPr>
        <w:t>Соловьев</w:t>
      </w:r>
      <w:r>
        <w:rPr/>
        <w:t>ского сельского поселения за 2023 год по доходам исполнен на 100,73% и составил 19 744 106,98 рублей.</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Основным источником налоговых доходов бюджета поселения являются земельный налог (удельный вес в структуре  доходов составил 8,52%), налог на товары (работы, услуги) реализуемые на территории РФ (удельный вес в структуре  доходов составил 7,06%).</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В структуре неналоговых доходов наибольший удельный вес занимают доходы от использования имущества находящегося в муниципальной собственности 17,49%.</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Безвозмездные поступления от других бюджетов бюджетной системы получены местным бюджетом в сумме 12 401 283,18 рублей, что составляет 62,81% в структуре доходов.</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rPr>
        <w:t>2.</w:t>
      </w:r>
      <w:r>
        <w:rPr/>
        <w:t xml:space="preserve"> </w:t>
      </w:r>
      <w:r>
        <w:rPr>
          <w:rFonts w:ascii="Times New Roman" w:hAnsi="Times New Roman"/>
          <w:sz w:val="24"/>
          <w:szCs w:val="24"/>
        </w:rPr>
        <w:t>Недоимка по платежам в бюджет поселения увеличилась за отчетный период 2023 года с  345 205,04 рублей до 529 708,62 рублей (на 53,45%). Недоимка числится по земельному налогу и налогу на имущество -администратор УФНС.</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По договорам аренды муниципального имущества имеется просроченная задолженность в сумме 1 276 009,97 рублей.</w:t>
      </w:r>
    </w:p>
    <w:p>
      <w:pPr>
        <w:pStyle w:val="ListParagraph"/>
        <w:widowControl w:val="false"/>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3. Расходы бюджета исполнены в сумме 20 837 740,83 рублей, или 97,90%.</w:t>
      </w:r>
    </w:p>
    <w:p>
      <w:pPr>
        <w:pStyle w:val="Normal"/>
        <w:widowControl w:val="false"/>
        <w:ind w:firstLine="709"/>
        <w:jc w:val="both"/>
        <w:rPr/>
      </w:pPr>
      <w:r>
        <w:rPr/>
        <w:t>Основная доля расходов бюджета поселения приходится на разделы «Национальная экономика»-59,20, «Общегосударственные вопросы»-27,84%.</w:t>
      </w:r>
    </w:p>
    <w:p>
      <w:pPr>
        <w:pStyle w:val="Normal"/>
        <w:widowControl w:val="false"/>
        <w:ind w:firstLine="709"/>
        <w:jc w:val="both"/>
        <w:rPr/>
      </w:pPr>
      <w:r>
        <w:rPr/>
        <w:t>Бюджетные и денежные обязательства в отчетном году принимались в пределах утвержденного объема бюджетных ассигнований и лимитов бюджетных обязательств.</w:t>
      </w:r>
    </w:p>
    <w:p>
      <w:pPr>
        <w:pStyle w:val="Normal"/>
        <w:ind w:firstLine="709"/>
        <w:jc w:val="both"/>
        <w:rPr>
          <w:rFonts w:eastAsia="Calibri"/>
        </w:rPr>
      </w:pPr>
      <w:r>
        <w:rPr>
          <w:rFonts w:eastAsia="Calibri"/>
        </w:rPr>
        <w:t>4. При исполнении бюджета поселения по завершению финансового года сложился дефицит в размере 1 093 633,85 рублей,</w:t>
      </w:r>
      <w:r>
        <w:rPr>
          <w:color w:val="000000"/>
        </w:rPr>
        <w:t xml:space="preserve"> который направлен на уменьшение остатков средств на счете по учету средств местного бюджета.</w:t>
      </w:r>
    </w:p>
    <w:p>
      <w:pPr>
        <w:pStyle w:val="Normal"/>
        <w:ind w:firstLine="709"/>
        <w:jc w:val="both"/>
        <w:rPr>
          <w:rFonts w:eastAsia="Calibri"/>
        </w:rPr>
      </w:pPr>
      <w:r>
        <w:rPr>
          <w:rFonts w:eastAsia="Calibri"/>
        </w:rPr>
        <w:t>5.В общем объеме расходов бюджета поселения удельный вес расходов на реализацию муниципальных программ составил 100,00%.</w:t>
      </w:r>
    </w:p>
    <w:p>
      <w:pPr>
        <w:pStyle w:val="Normal"/>
        <w:widowControl w:val="false"/>
        <w:ind w:firstLine="709"/>
        <w:jc w:val="both"/>
        <w:rPr>
          <w:rFonts w:eastAsia="Calibri"/>
        </w:rPr>
      </w:pPr>
      <w:r>
        <w:rPr>
          <w:rFonts w:eastAsia="Calibri"/>
        </w:rPr>
        <w:t>В 2023 году муниципальное образование Соловьевское сельское поселение не принимало участие в реализации национальных проектов (программ).</w:t>
      </w:r>
    </w:p>
    <w:p>
      <w:pPr>
        <w:pStyle w:val="Normal"/>
        <w:ind w:firstLine="709"/>
        <w:jc w:val="both"/>
        <w:rPr>
          <w:rFonts w:eastAsia="Calibri"/>
        </w:rPr>
      </w:pPr>
      <w:r>
        <w:rPr>
          <w:rFonts w:eastAsia="Calibri"/>
        </w:rPr>
        <w:t>6.В 2023 году расходы муниципального дорожного фонда исполнены в объеме 12 110 388,88</w:t>
      </w:r>
      <w:r>
        <w:rPr/>
        <w:t xml:space="preserve"> рублей или 96,52 % </w:t>
      </w:r>
      <w:r>
        <w:rPr>
          <w:rFonts w:eastAsia="Calibri"/>
        </w:rPr>
        <w:t>к бюджетным ассигнованиям уточненного бюджета.</w:t>
      </w:r>
    </w:p>
    <w:p>
      <w:pPr>
        <w:pStyle w:val="Normal"/>
        <w:ind w:firstLine="709"/>
        <w:jc w:val="both"/>
        <w:rPr/>
      </w:pPr>
      <w:r>
        <w:rPr/>
        <w:t>Средства дорожного фонда использованы по целевому направлению.</w:t>
      </w:r>
    </w:p>
    <w:p>
      <w:pPr>
        <w:pStyle w:val="Normal"/>
        <w:ind w:firstLine="709"/>
        <w:jc w:val="both"/>
        <w:rPr>
          <w:rFonts w:eastAsia="Calibri"/>
        </w:rPr>
      </w:pPr>
      <w:r>
        <w:rPr/>
        <w:t xml:space="preserve">7. Расходование средств резервного фонда в 2023 году не производилось. </w:t>
      </w:r>
    </w:p>
    <w:p>
      <w:pPr>
        <w:pStyle w:val="Normal"/>
        <w:tabs>
          <w:tab w:val="clear" w:pos="408"/>
          <w:tab w:val="left" w:pos="851" w:leader="none"/>
        </w:tabs>
        <w:ind w:firstLine="709"/>
        <w:jc w:val="both"/>
        <w:rPr>
          <w:rFonts w:eastAsia="Calibri"/>
        </w:rPr>
      </w:pPr>
      <w:r>
        <w:rPr>
          <w:rFonts w:eastAsia="Calibri"/>
        </w:rPr>
        <w:t xml:space="preserve">8.В результате внешней проверки бюджетная отчетность  муниципального образования  </w:t>
      </w:r>
      <w:r>
        <w:rPr>
          <w:color w:val="auto"/>
        </w:rPr>
        <w:t>Соловьев</w:t>
      </w:r>
      <w:r>
        <w:rPr>
          <w:rFonts w:eastAsia="Calibri"/>
          <w:color w:val="auto"/>
        </w:rPr>
        <w:t>ское</w:t>
      </w:r>
      <w:r>
        <w:rPr>
          <w:rFonts w:eastAsia="Calibri"/>
        </w:rPr>
        <w:t xml:space="preserve"> сельское поселение признана достоверной.</w:t>
      </w:r>
    </w:p>
    <w:p>
      <w:pPr>
        <w:pStyle w:val="Normal"/>
        <w:ind w:firstLine="709"/>
        <w:jc w:val="both"/>
        <w:rPr>
          <w:rFonts w:eastAsia="Calibri"/>
        </w:rPr>
      </w:pPr>
      <w:r>
        <w:rPr>
          <w:rFonts w:eastAsia="Calibri"/>
        </w:rPr>
        <w:t xml:space="preserve">9.Проект решения Совета депутатов </w:t>
      </w:r>
      <w:r>
        <w:rPr>
          <w:color w:val="333333"/>
        </w:rPr>
        <w:t>Соловьев</w:t>
      </w:r>
      <w:r>
        <w:rPr>
          <w:rFonts w:eastAsia="Calibri"/>
        </w:rPr>
        <w:t>ского сельского поселения «Об исполнении бюджета за 2023год» отражает достоверно кассовое исполнение доходов, расходов и источников финансирования дефицита бюджета поселения за период с 01 января по 31 декабря 2023года.</w:t>
      </w:r>
    </w:p>
    <w:p>
      <w:pPr>
        <w:pStyle w:val="Normal"/>
        <w:ind w:firstLine="709"/>
        <w:jc w:val="both"/>
        <w:rPr>
          <w:rFonts w:eastAsia="Calibri"/>
        </w:rPr>
      </w:pPr>
      <w:r>
        <w:rPr>
          <w:rFonts w:eastAsia="Calibri"/>
        </w:rPr>
      </w:r>
    </w:p>
    <w:p>
      <w:pPr>
        <w:pStyle w:val="Normal"/>
        <w:ind w:firstLine="709"/>
        <w:jc w:val="both"/>
        <w:rPr/>
      </w:pPr>
      <w:r>
        <w:rPr>
          <w:i/>
          <w:iCs/>
        </w:rPr>
        <w:t xml:space="preserve">Контрольно-счетный орган муниципального образования считает возможным рассмотрение отчета «об исполнении бюджета </w:t>
      </w:r>
      <w:r>
        <w:rPr>
          <w:i/>
          <w:iCs/>
          <w:color w:val="333333"/>
        </w:rPr>
        <w:t>Соловьев</w:t>
      </w:r>
      <w:r>
        <w:rPr>
          <w:i/>
          <w:iCs/>
        </w:rPr>
        <w:t>ского</w:t>
      </w:r>
      <w:r>
        <w:rPr>
          <w:rFonts w:eastAsia="Calibri"/>
          <w:i/>
          <w:iCs/>
          <w:lang w:eastAsia="en-US"/>
        </w:rPr>
        <w:t xml:space="preserve"> сельского</w:t>
      </w:r>
      <w:r>
        <w:rPr>
          <w:i/>
          <w:iCs/>
        </w:rPr>
        <w:t>  поселения за 2023год» Советом депутатов поселения.</w: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t xml:space="preserve">Председатель </w:t>
      </w:r>
    </w:p>
    <w:p>
      <w:pPr>
        <w:pStyle w:val="Normal"/>
        <w:jc w:val="right"/>
        <w:rPr/>
      </w:pPr>
      <w:r>
        <w:rPr/>
        <w:t>Е.В.Галаган</w:t>
      </w:r>
    </w:p>
    <w:p>
      <w:pPr>
        <w:pStyle w:val="Normal"/>
        <w:spacing w:before="0" w:after="120"/>
        <w:jc w:val="both"/>
        <w:rPr/>
      </w:pPr>
      <w:r>
        <w:rPr/>
      </w:r>
    </w:p>
    <w:sectPr>
      <w:headerReference w:type="default" r:id="rId3"/>
      <w:headerReference w:type="first" r:id="rId4"/>
      <w:type w:val="nextPage"/>
      <w:pgSz w:w="11906" w:h="16838"/>
      <w:pgMar w:left="1701" w:right="850" w:gutter="0" w:header="567" w:top="1134" w:footer="0"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roman"/>
    <w:pitch w:val="variable"/>
  </w:font>
  <w:font w:name="Calibri">
    <w:charset w:val="01"/>
    <w:family w:val="roman"/>
    <w:pitch w:val="variable"/>
  </w:font>
  <w:font w:name="Arial">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tabs>
        <w:tab w:val="left" w:pos="782" w:leader="none"/>
        <w:tab w:val="center" w:pos="4677" w:leader="none"/>
        <w:tab w:val="right" w:pos="9355" w:leader="none"/>
      </w:tabs>
      <w:rPr/>
    </w:pPr>
    <w:r>
      <w:rPr/>
      <w:tab/>
      <w:tab/>
    </w:r>
    <w:r>
      <w:rPr/>
      <w:fldChar w:fldCharType="begin"/>
    </w:r>
    <w:r>
      <w:rPr/>
      <w:instrText xml:space="preserve"> PAGE </w:instrText>
    </w:r>
    <w:r>
      <w:rPr/>
      <w:fldChar w:fldCharType="separate"/>
    </w:r>
    <w:r>
      <w:rPr/>
      <w:t>7</w:t>
    </w:r>
    <w:r>
      <w:rPr/>
      <w:fldChar w:fldCharType="end"/>
    </w:r>
  </w:p>
  <w:p>
    <w:pPr>
      <w:pStyle w:val="Style25"/>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jc w:val="center"/>
      <w:rPr/>
    </w:pPr>
    <w:r>
      <w:rPr/>
      <w:fldChar w:fldCharType="begin"/>
    </w:r>
    <w:r>
      <w:rPr/>
      <w:instrText xml:space="preserve"> PAGE </w:instrText>
    </w:r>
    <w:r>
      <w:rPr/>
      <w:fldChar w:fldCharType="separate"/>
    </w:r>
    <w:r>
      <w:rPr/>
      <w:t>1</w:t>
    </w:r>
    <w:r>
      <w:rPr/>
      <w:fldChar w:fldCharType="end"/>
    </w:r>
  </w:p>
  <w:p>
    <w:pPr>
      <w:pStyle w:val="Style25"/>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338" w:hanging="360"/>
      </w:pPr>
      <w:rPr/>
    </w:lvl>
    <w:lvl w:ilvl="1">
      <w:start w:val="1"/>
      <w:numFmt w:val="lowerLetter"/>
      <w:lvlText w:val="%2."/>
      <w:lvlJc w:val="left"/>
      <w:pPr>
        <w:tabs>
          <w:tab w:val="num" w:pos="0"/>
        </w:tabs>
        <w:ind w:left="4058" w:hanging="360"/>
      </w:pPr>
      <w:rPr/>
    </w:lvl>
    <w:lvl w:ilvl="2">
      <w:start w:val="1"/>
      <w:numFmt w:val="lowerRoman"/>
      <w:lvlText w:val="%3."/>
      <w:lvlJc w:val="right"/>
      <w:pPr>
        <w:tabs>
          <w:tab w:val="num" w:pos="0"/>
        </w:tabs>
        <w:ind w:left="4778" w:hanging="180"/>
      </w:pPr>
      <w:rPr/>
    </w:lvl>
    <w:lvl w:ilvl="3">
      <w:start w:val="1"/>
      <w:numFmt w:val="decimal"/>
      <w:lvlText w:val="%4."/>
      <w:lvlJc w:val="left"/>
      <w:pPr>
        <w:tabs>
          <w:tab w:val="num" w:pos="0"/>
        </w:tabs>
        <w:ind w:left="5498" w:hanging="360"/>
      </w:pPr>
      <w:rPr/>
    </w:lvl>
    <w:lvl w:ilvl="4">
      <w:start w:val="1"/>
      <w:numFmt w:val="lowerLetter"/>
      <w:lvlText w:val="%5."/>
      <w:lvlJc w:val="left"/>
      <w:pPr>
        <w:tabs>
          <w:tab w:val="num" w:pos="0"/>
        </w:tabs>
        <w:ind w:left="6218" w:hanging="360"/>
      </w:pPr>
      <w:rPr/>
    </w:lvl>
    <w:lvl w:ilvl="5">
      <w:start w:val="1"/>
      <w:numFmt w:val="lowerRoman"/>
      <w:lvlText w:val="%6."/>
      <w:lvlJc w:val="right"/>
      <w:pPr>
        <w:tabs>
          <w:tab w:val="num" w:pos="0"/>
        </w:tabs>
        <w:ind w:left="6938" w:hanging="180"/>
      </w:pPr>
      <w:rPr/>
    </w:lvl>
    <w:lvl w:ilvl="6">
      <w:start w:val="1"/>
      <w:numFmt w:val="decimal"/>
      <w:lvlText w:val="%7."/>
      <w:lvlJc w:val="left"/>
      <w:pPr>
        <w:tabs>
          <w:tab w:val="num" w:pos="0"/>
        </w:tabs>
        <w:ind w:left="7658" w:hanging="360"/>
      </w:pPr>
      <w:rPr/>
    </w:lvl>
    <w:lvl w:ilvl="7">
      <w:start w:val="1"/>
      <w:numFmt w:val="lowerLetter"/>
      <w:lvlText w:val="%8."/>
      <w:lvlJc w:val="left"/>
      <w:pPr>
        <w:tabs>
          <w:tab w:val="num" w:pos="0"/>
        </w:tabs>
        <w:ind w:left="8378" w:hanging="360"/>
      </w:pPr>
      <w:rPr/>
    </w:lvl>
    <w:lvl w:ilvl="8">
      <w:start w:val="1"/>
      <w:numFmt w:val="lowerRoman"/>
      <w:lvlText w:val="%9."/>
      <w:lvlJc w:val="right"/>
      <w:pPr>
        <w:tabs>
          <w:tab w:val="num" w:pos="0"/>
        </w:tabs>
        <w:ind w:left="9098" w:hanging="180"/>
      </w:pPr>
      <w:rPr/>
    </w:lvl>
  </w:abstractNum>
  <w:abstractNum w:abstractNumId="2">
    <w:lvl w:ilvl="0">
      <w:start w:val="2"/>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
    <w:lvl w:ilvl="0">
      <w:start w:val="3"/>
      <w:numFmt w:val="decimal"/>
      <w:lvlText w:val="%1."/>
      <w:lvlJc w:val="left"/>
      <w:pPr>
        <w:tabs>
          <w:tab w:val="num" w:pos="927"/>
        </w:tabs>
        <w:ind w:left="927" w:hanging="360"/>
      </w:pPr>
      <w:rPr/>
    </w:lvl>
    <w:lvl w:ilvl="1">
      <w:start w:val="1"/>
      <w:numFmt w:val="decimal"/>
      <w:lvlText w:val="%2."/>
      <w:lvlJc w:val="left"/>
      <w:pPr>
        <w:tabs>
          <w:tab w:val="num" w:pos="1647"/>
        </w:tabs>
        <w:ind w:left="1647" w:hanging="360"/>
      </w:pPr>
      <w:rPr/>
    </w:lvl>
    <w:lvl w:ilvl="2">
      <w:start w:val="1"/>
      <w:numFmt w:val="decimal"/>
      <w:lvlText w:val="%3."/>
      <w:lvlJc w:val="left"/>
      <w:pPr>
        <w:tabs>
          <w:tab w:val="num" w:pos="2367"/>
        </w:tabs>
        <w:ind w:left="2367" w:hanging="360"/>
      </w:pPr>
      <w:rPr/>
    </w:lvl>
    <w:lvl w:ilvl="3">
      <w:start w:val="1"/>
      <w:numFmt w:val="decimal"/>
      <w:lvlText w:val="%4."/>
      <w:lvlJc w:val="left"/>
      <w:pPr>
        <w:tabs>
          <w:tab w:val="num" w:pos="3087"/>
        </w:tabs>
        <w:ind w:left="3087" w:hanging="360"/>
      </w:pPr>
      <w:rPr/>
    </w:lvl>
    <w:lvl w:ilvl="4">
      <w:start w:val="1"/>
      <w:numFmt w:val="decimal"/>
      <w:lvlText w:val="%5."/>
      <w:lvlJc w:val="left"/>
      <w:pPr>
        <w:tabs>
          <w:tab w:val="num" w:pos="3807"/>
        </w:tabs>
        <w:ind w:left="3807" w:hanging="360"/>
      </w:pPr>
      <w:rPr/>
    </w:lvl>
    <w:lvl w:ilvl="5">
      <w:start w:val="1"/>
      <w:numFmt w:val="decimal"/>
      <w:lvlText w:val="%6."/>
      <w:lvlJc w:val="left"/>
      <w:pPr>
        <w:tabs>
          <w:tab w:val="num" w:pos="4527"/>
        </w:tabs>
        <w:ind w:left="4527" w:hanging="360"/>
      </w:pPr>
      <w:rPr/>
    </w:lvl>
    <w:lvl w:ilvl="6">
      <w:start w:val="1"/>
      <w:numFmt w:val="decimal"/>
      <w:lvlText w:val="%7."/>
      <w:lvlJc w:val="left"/>
      <w:pPr>
        <w:tabs>
          <w:tab w:val="num" w:pos="5247"/>
        </w:tabs>
        <w:ind w:left="5247" w:hanging="360"/>
      </w:pPr>
      <w:rPr/>
    </w:lvl>
    <w:lvl w:ilvl="7">
      <w:start w:val="1"/>
      <w:numFmt w:val="decimal"/>
      <w:lvlText w:val="%8."/>
      <w:lvlJc w:val="left"/>
      <w:pPr>
        <w:tabs>
          <w:tab w:val="num" w:pos="5967"/>
        </w:tabs>
        <w:ind w:left="5967" w:hanging="360"/>
      </w:pPr>
      <w:rPr/>
    </w:lvl>
    <w:lvl w:ilvl="8">
      <w:start w:val="1"/>
      <w:numFmt w:val="decimal"/>
      <w:lvlText w:val="%9."/>
      <w:lvlJc w:val="left"/>
      <w:pPr>
        <w:tabs>
          <w:tab w:val="num" w:pos="6687"/>
        </w:tabs>
        <w:ind w:left="6687" w:hanging="36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220"/>
  <w:embedSystemFonts/>
  <w:defaultTabStop w:val="4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8f0db0"/>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qFormat/>
    <w:rsid w:val="006111a4"/>
    <w:rPr>
      <w:rFonts w:ascii="Tahoma" w:hAnsi="Tahoma" w:cs="Tahoma"/>
      <w:sz w:val="16"/>
      <w:szCs w:val="16"/>
    </w:rPr>
  </w:style>
  <w:style w:type="character" w:styleId="Style15" w:customStyle="1">
    <w:name w:val="Верхний колонтитул Знак"/>
    <w:uiPriority w:val="99"/>
    <w:qFormat/>
    <w:rsid w:val="00936eec"/>
    <w:rPr>
      <w:sz w:val="24"/>
      <w:szCs w:val="24"/>
    </w:rPr>
  </w:style>
  <w:style w:type="character" w:styleId="Style16" w:customStyle="1">
    <w:name w:val="Нижний колонтитул Знак"/>
    <w:uiPriority w:val="99"/>
    <w:qFormat/>
    <w:rsid w:val="00936eec"/>
    <w:rPr>
      <w:sz w:val="24"/>
      <w:szCs w:val="24"/>
    </w:rPr>
  </w:style>
  <w:style w:type="character" w:styleId="Strong">
    <w:name w:val="Strong"/>
    <w:qFormat/>
    <w:rsid w:val="005f4098"/>
    <w:rPr>
      <w:b/>
      <w:bCs/>
    </w:rPr>
  </w:style>
  <w:style w:type="character" w:styleId="Style17" w:customStyle="1">
    <w:name w:val="Гипертекстовая ссылка"/>
    <w:basedOn w:val="DefaultParagraphFont"/>
    <w:uiPriority w:val="99"/>
    <w:qFormat/>
    <w:rsid w:val="00154d57"/>
    <w:rPr>
      <w:color w:val="106BBE"/>
    </w:rPr>
  </w:style>
  <w:style w:type="character" w:styleId="3" w:customStyle="1">
    <w:name w:val="Основной текст с отступом 3 Знак"/>
    <w:basedOn w:val="DefaultParagraphFont"/>
    <w:qFormat/>
    <w:rsid w:val="00de4594"/>
    <w:rPr>
      <w:rFonts w:eastAsia="Calibri"/>
      <w:sz w:val="24"/>
    </w:rPr>
  </w:style>
  <w:style w:type="paragraph" w:styleId="Style18" w:customStyle="1">
    <w:name w:val="Заголовок"/>
    <w:basedOn w:val="Normal"/>
    <w:next w:val="Style19"/>
    <w:qFormat/>
    <w:rsid w:val="00294f15"/>
    <w:pPr>
      <w:keepNext w:val="true"/>
      <w:spacing w:before="240" w:after="120"/>
    </w:pPr>
    <w:rPr>
      <w:rFonts w:ascii="Liberation Sans" w:hAnsi="Liberation Sans" w:eastAsia="Noto Sans CJK SC" w:cs="Lohit Devanagari"/>
      <w:sz w:val="28"/>
      <w:szCs w:val="28"/>
    </w:rPr>
  </w:style>
  <w:style w:type="paragraph" w:styleId="Style19">
    <w:name w:val="Body Text"/>
    <w:basedOn w:val="Normal"/>
    <w:rsid w:val="00294f15"/>
    <w:pPr>
      <w:spacing w:lineRule="auto" w:line="276" w:before="0" w:after="140"/>
    </w:pPr>
    <w:rPr/>
  </w:style>
  <w:style w:type="paragraph" w:styleId="Style20">
    <w:name w:val="List"/>
    <w:basedOn w:val="Style19"/>
    <w:rsid w:val="00294f15"/>
    <w:pPr/>
    <w:rPr>
      <w:rFonts w:cs="Lohit Devanagari"/>
    </w:rPr>
  </w:style>
  <w:style w:type="paragraph" w:styleId="Style21" w:customStyle="1">
    <w:name w:val="Caption"/>
    <w:basedOn w:val="Normal"/>
    <w:qFormat/>
    <w:rsid w:val="00294f15"/>
    <w:pPr>
      <w:suppressLineNumbers/>
      <w:spacing w:before="120" w:after="120"/>
    </w:pPr>
    <w:rPr>
      <w:rFonts w:cs="Lohit Devanagari"/>
      <w:i/>
      <w:iCs/>
    </w:rPr>
  </w:style>
  <w:style w:type="paragraph" w:styleId="Style22">
    <w:name w:val="Указатель"/>
    <w:basedOn w:val="Normal"/>
    <w:qFormat/>
    <w:pPr>
      <w:suppressLineNumbers/>
    </w:pPr>
    <w:rPr>
      <w:rFonts w:cs="Droid Sans Devanagari"/>
      <w:lang w:val="zxx" w:eastAsia="zxx" w:bidi="zxx"/>
    </w:rPr>
  </w:style>
  <w:style w:type="paragraph" w:styleId="Indexheading">
    <w:name w:val="index heading"/>
    <w:basedOn w:val="Normal"/>
    <w:qFormat/>
    <w:rsid w:val="00294f15"/>
    <w:pPr>
      <w:suppressLineNumbers/>
    </w:pPr>
    <w:rPr>
      <w:rFonts w:cs="Lohit Devanagari"/>
    </w:rPr>
  </w:style>
  <w:style w:type="paragraph" w:styleId="ListParagraph">
    <w:name w:val="List Paragraph"/>
    <w:basedOn w:val="Normal"/>
    <w:uiPriority w:val="34"/>
    <w:qFormat/>
    <w:rsid w:val="006c1033"/>
    <w:pPr>
      <w:spacing w:lineRule="auto" w:line="276" w:before="0" w:after="200"/>
      <w:ind w:left="720" w:hanging="0"/>
      <w:contextualSpacing/>
    </w:pPr>
    <w:rPr>
      <w:rFonts w:ascii="Calibri" w:hAnsi="Calibri" w:eastAsia="Calibri"/>
      <w:sz w:val="22"/>
      <w:szCs w:val="22"/>
      <w:lang w:eastAsia="en-US"/>
    </w:rPr>
  </w:style>
  <w:style w:type="paragraph" w:styleId="BalloonText">
    <w:name w:val="Balloon Text"/>
    <w:basedOn w:val="Normal"/>
    <w:qFormat/>
    <w:rsid w:val="006111a4"/>
    <w:pPr/>
    <w:rPr>
      <w:rFonts w:ascii="Tahoma" w:hAnsi="Tahoma"/>
      <w:sz w:val="16"/>
      <w:szCs w:val="16"/>
    </w:rPr>
  </w:style>
  <w:style w:type="paragraph" w:styleId="Style23" w:customStyle="1">
    <w:name w:val="Верхний и нижний колонтитулы"/>
    <w:basedOn w:val="Normal"/>
    <w:qFormat/>
    <w:rsid w:val="00294f15"/>
    <w:pPr/>
    <w:rPr/>
  </w:style>
  <w:style w:type="paragraph" w:styleId="Style24">
    <w:name w:val="Колонтитул"/>
    <w:basedOn w:val="Normal"/>
    <w:qFormat/>
    <w:pPr/>
    <w:rPr/>
  </w:style>
  <w:style w:type="paragraph" w:styleId="Style25" w:customStyle="1">
    <w:name w:val="Header"/>
    <w:basedOn w:val="Normal"/>
    <w:uiPriority w:val="99"/>
    <w:rsid w:val="00936eec"/>
    <w:pPr>
      <w:tabs>
        <w:tab w:val="clear" w:pos="408"/>
        <w:tab w:val="center" w:pos="4677" w:leader="none"/>
        <w:tab w:val="right" w:pos="9355" w:leader="none"/>
      </w:tabs>
    </w:pPr>
    <w:rPr/>
  </w:style>
  <w:style w:type="paragraph" w:styleId="Style26" w:customStyle="1">
    <w:name w:val="Footer"/>
    <w:basedOn w:val="Normal"/>
    <w:uiPriority w:val="99"/>
    <w:rsid w:val="00936eec"/>
    <w:pPr>
      <w:tabs>
        <w:tab w:val="clear" w:pos="408"/>
        <w:tab w:val="center" w:pos="4677" w:leader="none"/>
        <w:tab w:val="right" w:pos="9355" w:leader="none"/>
      </w:tabs>
    </w:pPr>
    <w:rPr/>
  </w:style>
  <w:style w:type="paragraph" w:styleId="ConsPlusNormal" w:customStyle="1">
    <w:name w:val="ConsPlusNormal"/>
    <w:qFormat/>
    <w:rsid w:val="00bb40cc"/>
    <w:pPr>
      <w:widowControl w:val="false"/>
      <w:suppressAutoHyphens w:val="true"/>
      <w:bidi w:val="0"/>
      <w:spacing w:before="0" w:after="0"/>
      <w:ind w:firstLine="720"/>
      <w:jc w:val="left"/>
    </w:pPr>
    <w:rPr>
      <w:rFonts w:ascii="Arial" w:hAnsi="Arial" w:eastAsia="Times New Roman" w:cs="Arial"/>
      <w:color w:val="auto"/>
      <w:kern w:val="0"/>
      <w:sz w:val="24"/>
      <w:szCs w:val="20"/>
      <w:lang w:val="ru-RU" w:eastAsia="ru-RU" w:bidi="ar-SA"/>
    </w:rPr>
  </w:style>
  <w:style w:type="paragraph" w:styleId="NormalWeb">
    <w:name w:val="Normal (Web)"/>
    <w:basedOn w:val="Normal"/>
    <w:uiPriority w:val="99"/>
    <w:unhideWhenUsed/>
    <w:qFormat/>
    <w:rsid w:val="0021444b"/>
    <w:pPr>
      <w:spacing w:beforeAutospacing="1" w:afterAutospacing="1"/>
    </w:pPr>
    <w:rPr/>
  </w:style>
  <w:style w:type="paragraph" w:styleId="BodyTextIndent3">
    <w:name w:val="Body Text Indent 3"/>
    <w:basedOn w:val="Normal"/>
    <w:qFormat/>
    <w:rsid w:val="00de4594"/>
    <w:pPr>
      <w:ind w:left="142" w:hanging="142"/>
      <w:jc w:val="both"/>
    </w:pPr>
    <w:rPr>
      <w:rFonts w:eastAsia="Calibri"/>
      <w:szCs w:val="20"/>
    </w:rPr>
  </w:style>
  <w:style w:type="paragraph" w:styleId="Western">
    <w:name w:val="western"/>
    <w:basedOn w:val="Normal"/>
    <w:qFormat/>
    <w:pPr>
      <w:suppressAutoHyphens w:val="false"/>
      <w:spacing w:beforeAutospacing="1" w:after="142"/>
    </w:pPr>
    <w:rPr>
      <w:rFonts w:ascii="Calibri" w:hAnsi="Calibri" w:eastAsia="Times New Roman" w:cs="Times New Roman"/>
      <w:color w:val="000000"/>
      <w:lang w:eastAsia="ru-RU"/>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f0">
    <w:name w:val="Table Grid"/>
    <w:basedOn w:val="a1"/>
    <w:rsid w:val="00e47c3a"/>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1C3AA-4CEB-4F22-9DFF-88073253C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1026</TotalTime>
  <Application>LibreOffice/7.3.7.2$Linux_X86_64 LibreOffice_project/30$Build-2</Application>
  <AppVersion>15.0000</AppVersion>
  <Pages>7</Pages>
  <Words>2206</Words>
  <Characters>14821</Characters>
  <CharactersWithSpaces>16776</CharactersWithSpaces>
  <Paragraphs>274</Paragraphs>
  <Company>MoBIL GROUP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2023-04-23T12:53:00Z</dcterms:created>
  <dc:creator>User</dc:creator>
  <dc:description/>
  <dc:language>ru-RU</dc:language>
  <cp:lastModifiedBy/>
  <cp:lastPrinted>2024-04-10T16:17:01Z</cp:lastPrinted>
  <dcterms:modified xsi:type="dcterms:W3CDTF">2024-04-12T09:12:08Z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