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 № 62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на  проект решения Совета  Соловьевского сельского поселения Полтавского муниципального района «О бюджете  сельского поселения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67"/>
      <w:bookmarkStart w:id="1" w:name="OLE_LINK68"/>
      <w:r>
        <w:rPr>
          <w:rFonts w:cs="Times New Roman" w:ascii="Times New Roman" w:hAnsi="Times New Roman"/>
          <w:b/>
          <w:sz w:val="28"/>
          <w:szCs w:val="28"/>
        </w:rPr>
        <w:t>на 2025 год и плановый период 2026 и 2027 годов».</w:t>
      </w:r>
      <w:bookmarkEnd w:id="0"/>
      <w:bookmarkEnd w:id="1"/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р.п. Полтавка                                                                                                   </w:t>
      </w:r>
      <w:bookmarkStart w:id="2" w:name="_GoBack"/>
      <w:bookmarkEnd w:id="2"/>
      <w:r>
        <w:rPr>
          <w:rFonts w:cs="Times New Roman" w:ascii="Times New Roman" w:hAnsi="Times New Roman"/>
          <w:sz w:val="24"/>
          <w:szCs w:val="24"/>
        </w:rPr>
        <w:t xml:space="preserve">21 ноября 2024 г.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1.Общее положение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Заключение Контрольно-счетного органа муниципального образования  на проект решения Совета Соловьевского сельского поселения Полтавского муниципального района «О проекте решения о бюджете сельского поселения на 2025 год и плановый период 2026 и 2027 годов» (далее по тексту – проект решения или проект бюджета), для рассмотрения в первом чтении  подготовлено в соответствии со статьей 157 Бюджетного кодекса Российской Федерации,  Федеральным  законом от 07.02.2011 года № 6-ФЗ «Об общих принципах организации и  деятельности контрольно-счетных органов субъектов Российской Федерации, федеральных территорий и муниципальных образований», Положением о бюджетном процессе в Соловьевском сельском поселении Полтавском муниципальном районе (далее Положение о бюджетном процессе), Положением о контрольно-счетном органе муниципального образования «Полтавский муниципальный  район Омской области», пунктом 2.22 Плана работы контрольно-счетного органа муниципального образования на 2024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Цель проведения экспертизы – определить соответствие данного проекта решения, документов представленных с проектом решения действующему бюджетному законодательству и Положению о бюджетном процессе в Соловьевском сельском поселении Полтавского муниципального района, анализ обоснованности его показателей.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 решения о бюджете Соловьевского сельского поселения Полтавского муниципального района на 2025 год и плановый период 2026 и 2027 годов внесен  администрацией муниципального образования на рассмотрение в Совет Соловьевского сельского поселения Полтавского муниципального района 12 ноября 2024 года, что соответствует статье 11 Положения о бюджетном процессе - не позднее 15 ноября текущего года.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и содержание документов, предоставленных одновременно с проектом решения, соответствуют статье 184.2 БК РФ и статье 11 Положения о бюджетном процессе в Соловьевском сельском поселении Полтавского муниципального района Омской области.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Вышеуказанные материалы были представлены в Контрольно – счетный орган 12.11.2024г (письмо председателя Совета Соловьевского сельского поселения Полтавского муниципального района), что соответствует статье 13 Положения о бюджетном процессе.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 Анализ соответствия проекта бюджета требованиям бюджетного законодательства</w:t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2.1. Анализ текстовой части проекта бюджета.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Проект  бюджета </w:t>
      </w:r>
      <w:r>
        <w:rPr>
          <w:rFonts w:eastAsia="Calibri" w:eastAsiaTheme="minorHAnsi"/>
          <w:color w:val="auto"/>
          <w:lang w:eastAsia="en-US"/>
        </w:rPr>
        <w:t>Соловьев</w:t>
      </w:r>
      <w:r>
        <w:rPr/>
        <w:t>ского сельского поселения</w:t>
      </w:r>
      <w:r>
        <w:rPr>
          <w:color w:val="auto"/>
        </w:rPr>
        <w:t xml:space="preserve"> Полтавского муниципального района на </w:t>
      </w:r>
      <w:r>
        <w:rPr>
          <w:rFonts w:cs="Times New Roman"/>
          <w:color w:val="auto"/>
          <w:sz w:val="24"/>
          <w:szCs w:val="24"/>
        </w:rPr>
        <w:t>2025 год и плановый период 2026 и 2027</w:t>
      </w:r>
      <w:r>
        <w:rPr>
          <w:color w:val="auto"/>
        </w:rPr>
        <w:t xml:space="preserve"> годов проанализирован на его соответствие требованиям Бюджетного кодекса Российской Федерации, Федерального закона от 06.10.2003 года №131-ФЗ «Об общих принципах организации местного самоуправления», Устава поселения, Положения о бюджетном процессе. 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Проектом бюджета  предлагается утвердить 11 текстовых статей бюджета в том числе: 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1 - основные характеристики бюджета, которые рассматриваются в первом чтении (что соответствует требованиям пункта 1 статьи 184.1 БК РФ, пункт 1 статьи 10 Положения о бюджетном процессе). Экспертиза устанавливает согласованность показателей между статьями и приложениями;</w:t>
      </w:r>
    </w:p>
    <w:p>
      <w:pPr>
        <w:pStyle w:val="Normal"/>
        <w:spacing w:lineRule="auto" w:line="276" w:before="0" w:after="2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-статья 2 - отражает источники формирования доходов бюджета по классификации доходов бюджетов РФ  налоговых, неналоговых доходов, безвозмездных поступлений в соответствии со статьей 39, 58, 184.1 БК РФ, пунктом 2 статьи 10 </w:t>
      </w:r>
      <w:r>
        <w:rPr>
          <w:rFonts w:cs="Times New Roman" w:ascii="Times New Roman" w:hAnsi="Times New Roman"/>
          <w:sz w:val="24"/>
          <w:szCs w:val="28"/>
        </w:rPr>
        <w:t>Положения о бюджетном процессе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spacing w:lineRule="auto" w:line="276" w:before="0" w:after="2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3 - закрепляет объем бюджетных ассигнований на исполнение публичных нормативных обязательств ( в соответствии со статьей 184.1 БК РФ, пунктом 2 статьи 10 Положения о бюджетном процессе);  размеры дорожного фонда (в соответствии с пунктом 5 статьи 179.4 БК РФ, пунктом 2 статьи 10 Положения о бюджетном процессе); утверждает распределение бюджетных ассигнований (в соответствии с требованиями статьи 184.1 БК РФ, пунктом 2 статьи 10 Положения о бюджетном процессе); устанавливают особенности внесения изменений в сводную бюджетную роспись расходов без внесения изменений в бюджет (в соответствии с пунктом 8 статьи 217 БК РФ).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4 -  устанавливает размер резервного фонда (в соответствии со статьей 81 БК РФ);</w:t>
      </w:r>
    </w:p>
    <w:p>
      <w:pPr>
        <w:pStyle w:val="Normal"/>
        <w:spacing w:lineRule="auto" w:line="276" w:before="0" w:after="2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5 – определяет особенности использования бюджетных ассигнований по обеспечению деятельности органов местного самоуправления;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-статья 6 -  утверждается объем межбюджетных трансфертов (в соответствии с пунктом 3 статьи 184.1 БК РФ, пунктом 2 статьи 10 Положения о бюджетном процессе);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-статьей 7 - иные показатели бюджета (в соответствии с пунктом 4 статьи 101,   статьи 103, статьями 107, 108.4, 110.1, 111 БК РФ, статьей 10 Положения о бюджетном процессе):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 управление муниципальным внутренним долгом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(верхний предел муниципального внутреннего долга и  верхний предел долга по муниципальным гарантиям, а также объем расходов на его обслуживание);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 </w:t>
      </w:r>
      <w:r>
        <w:rPr>
          <w:rFonts w:cs="Times New Roman" w:ascii="Times New Roman" w:hAnsi="Times New Roman"/>
          <w:sz w:val="24"/>
          <w:szCs w:val="24"/>
        </w:rPr>
        <w:t xml:space="preserve"> источники финансирования дефицита местного бюджета;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 программу муниципальных внутренних заимствований.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 предоставление муниципальных гарантий.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Статьей 8, 9,10 в соответствии со статьей 215.1 БК РФ предусматриваются: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 особенности погашения кредиторской задолженности главных распорядителей средств местного бюджета;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 положения по авансированию расходных обязательств получателей средств местного бюджета;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- использование остатков средств местного бюджета  имеющих целевое назначение (согласно п</w:t>
      </w:r>
      <w:r>
        <w:rPr>
          <w:rFonts w:cs="Times New Roman" w:ascii="Times New Roman" w:hAnsi="Times New Roman"/>
          <w:sz w:val="24"/>
          <w:szCs w:val="28"/>
        </w:rPr>
        <w:t>ункта 2 статьи 10 проекта решения в соответствии с пунктом 5 статьи 242 БК РФ</w:t>
      </w:r>
      <w:r>
        <w:rPr>
          <w:rFonts w:cs="Times New Roman" w:ascii="Times New Roman" w:hAnsi="Times New Roman"/>
          <w:sz w:val="24"/>
          <w:szCs w:val="24"/>
        </w:rPr>
        <w:t>).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sz w:val="24"/>
          <w:szCs w:val="24"/>
        </w:rPr>
        <w:t>Статьи 2,3,7 утверждают Приложения к проекту бюджета, которые  составляют 7 табличных приложений.</w:t>
      </w:r>
    </w:p>
    <w:p>
      <w:pPr>
        <w:pStyle w:val="Normal"/>
        <w:spacing w:lineRule="auto" w:line="276"/>
        <w:ind w:firstLine="709" w:left="567"/>
        <w:jc w:val="both"/>
        <w:rPr/>
      </w:pPr>
      <w:r>
        <w:rPr>
          <w:rFonts w:cs="Times New Roman" w:ascii="Times New Roman" w:hAnsi="Times New Roman"/>
          <w:i/>
          <w:color w:val="auto"/>
          <w:sz w:val="24"/>
          <w:szCs w:val="24"/>
        </w:rPr>
        <w:t>Предложенные текстовые статьи не противоречат Бюджетному кодексу РФ,  муниципальным нормативным правовым актам и приложенным к проекту бюджета документам и приложениям.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2.2. Анализ перечня и содержания документов, представленных одновременно</w:t>
      </w:r>
    </w:p>
    <w:p>
      <w:pPr>
        <w:pStyle w:val="Default"/>
        <w:ind w:firstLine="709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с проектом бюджета на 2025 год </w:t>
      </w:r>
      <w:r>
        <w:rPr>
          <w:b/>
          <w:color w:val="auto"/>
        </w:rPr>
        <w:t>и на плановый период 2026 и 2027 годов</w:t>
      </w:r>
      <w:r>
        <w:rPr>
          <w:b/>
          <w:bCs/>
          <w:color w:val="auto"/>
        </w:rPr>
        <w:t>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Перечень, содержание документов и материалов, которые в соответствии со статьей 184.2 БК РФ, ст.10 Положения о бюджетном процессе в </w:t>
      </w:r>
      <w:r>
        <w:rPr>
          <w:rFonts w:eastAsia="Calibri" w:eastAsiaTheme="minorHAnsi"/>
          <w:color w:val="auto"/>
          <w:lang w:eastAsia="en-US"/>
        </w:rPr>
        <w:t>Соловьев</w:t>
      </w:r>
      <w:r>
        <w:rPr/>
        <w:t>ском</w:t>
      </w:r>
      <w:r>
        <w:rPr>
          <w:color w:val="auto"/>
        </w:rPr>
        <w:t xml:space="preserve"> сельском поселении должны представляться одновременно с проектом бюджета, </w:t>
      </w:r>
      <w:r>
        <w:rPr>
          <w:b/>
          <w:bCs/>
          <w:color w:val="auto"/>
        </w:rPr>
        <w:t xml:space="preserve">в основном </w:t>
      </w:r>
      <w:r>
        <w:rPr>
          <w:color w:val="auto"/>
        </w:rPr>
        <w:t xml:space="preserve">соответствуют требованиям бюджетного законодательства. </w:t>
      </w:r>
    </w:p>
    <w:p>
      <w:pPr>
        <w:pStyle w:val="Default"/>
        <w:ind w:firstLine="709"/>
        <w:jc w:val="both"/>
        <w:rPr>
          <w:color w:val="auto"/>
        </w:rPr>
      </w:pPr>
      <w:r>
        <w:rPr>
          <w:b/>
          <w:color w:val="auto"/>
        </w:rPr>
        <w:t>Основные направления бюджетной и налоговой политики</w:t>
      </w:r>
      <w:r>
        <w:rPr>
          <w:color w:val="auto"/>
        </w:rPr>
        <w:t xml:space="preserve"> муниципального образования на 2024 год и на плановый период 2025 и 2026 годов утверждены распоряжением администрации от 05.09.2024 года № 52.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Как следует из Основных направлений, бюджетной и  налоговой политики основной целью является сбалансированность и устойчивость бюджета, а также обеспечение прозрачности и открытости бюджетного планирования.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Основными задачами налоговой  политики муниципального образования  на 2025-2027 годы  являются, обеспечение сбалансированности и устойчивости местного бюджета, обеспечение стабильности поступления доходов бюджет района, поддержка предпринимательской активности, совершенствование налогового администрирования и поддержание сбалансированности бюджета района.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В соответствии со статьей 169 БК РФ, проект бюджета составляется на основе </w:t>
      </w:r>
      <w:r>
        <w:rPr>
          <w:b/>
          <w:color w:val="auto"/>
        </w:rPr>
        <w:t>прогноза социально-экономического развития</w:t>
      </w:r>
      <w:r>
        <w:rPr>
          <w:color w:val="auto"/>
        </w:rPr>
        <w:t xml:space="preserve"> в целях финансового обеспечения расходных обязательств. Надежность показателей прогноза социально-экономического развития является важнейшей составляющей принципа достоверности бюджета, определенного статьи 37 БК РФ.</w:t>
      </w:r>
    </w:p>
    <w:p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Согласно пункту 2 статьи 173 БК РФ прогноз социально-экономического развития муниципального образования ежегодно разрабатывается в порядке, установленном местной администрацией.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Прогноз социально-экономического развития поселения на 2025 год и плановый период 2026 и 2027 годов  одобрен распоряжением администрации Соловьевского сельского поселения от 12.11.2024 г. (далее – Прогноз), что соответствует пункту 3 статьи 173 БК РФ, и статье 7 Положения о бюджетном процессе согласно которым прогноз одобряется одновременно с принятием решения о внесении проекта бюджета в представительный орган.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Экспертиза представленных документов установила следующее: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Пояснительная записка к прогнозу социально-экономического развития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Соловьевского сельского поселения на 2025 год и плановый период 2026 и 2027 годы (далее - Пояснительная записка к прогнозу) отражает что Прогноз разработан на основе 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shd w:fill="auto" w:val="clear"/>
        </w:rPr>
        <w:t>сценарных условий социально-экономического развития Российской Федерации на 2024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shd w:fill="auto" w:val="clear"/>
        </w:rPr>
        <w:t xml:space="preserve"> год, отмечаем что сценарные условия разрабатываются в двух вариантах на период формирования проекта бюджета, то есть на 2025 и плановый 2026 и 2027 годов, следовательно рекомендуем 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</w:rPr>
        <w:t xml:space="preserve">внести корректировку в указанный год. 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shd w:fill="auto" w:val="clear"/>
        </w:rPr>
        <w:t xml:space="preserve">Пояснительной запиской к прогнозу определено, что второй вариант сценарных условий предполагает более благоприятную экономическую конъюнктуру, обеспечивающую значительный рост уровня жизни населения, однако по данным Прогноза социально-экономического развития (приложения 1 к распоряжению Администрации №67 от 12 ноября 2024 года) показатели «Оборот розничной торговли», «численность населения (среднегодовая)», «численность экономически активного населения (среднегодовая)» по данному варианту планируется в более низких показателях, чем по первому варианту сценарных условий развития, и «уровень зарегистрированной безработицы» в более высоком показателе относительно первого варианта, 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shd w:fill="auto" w:val="clear"/>
        </w:rPr>
        <w:t>что не обеспечит рост уровня жизни населения.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shd w:fill="auto" w:val="clear"/>
        </w:rPr>
        <w:t>Контрольно-счетный орган рекомендует Администрации Соловьевского сельского поселения привести прогнозные показатели к планируемому уровню сценарных условий развития.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shd w:fill="auto" w:val="clear"/>
        </w:rPr>
        <w:t>В нарушение пункта 4 статьи 173 БК  в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0"/>
          <w:u w:val="none"/>
        </w:rPr>
        <w:t xml:space="preserve"> П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ояснительной записке к прогнозу социально-экономического развития </w:t>
      </w:r>
      <w:r>
        <w:rPr>
          <w:rFonts w:ascii="Times New Roman" w:hAnsi="Times New Roman"/>
          <w:b/>
          <w:bCs/>
          <w:i w:val="false"/>
          <w:strike w:val="false"/>
          <w:dstrike w:val="false"/>
          <w:sz w:val="24"/>
          <w:szCs w:val="24"/>
          <w:u w:val="none"/>
        </w:rPr>
        <w:t>установлены случаи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ascii="Times New Roman" w:hAnsi="Times New Roman"/>
          <w:b/>
          <w:bCs/>
          <w:i w:val="false"/>
          <w:strike w:val="false"/>
          <w:dstrike w:val="false"/>
          <w:sz w:val="24"/>
          <w:szCs w:val="24"/>
          <w:u w:val="none"/>
        </w:rPr>
        <w:t>отсутствия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обоснования параметров прогноза, в том числе их сопоставление с ранее утвержденными параметрами с указанием причин и факторов прогнозируемых изменений. Пояснительной запиской в основном ведется анализ показателей 2027 года к уровню 2024 года, показатели прогноза 2025 и 2026 годов не анализируются, без пояснения остались следующие показатели прогноза «Инвестиции в основной капитал»-имеется цифровое значение; «ввод в действие жилых домов» цифровое значение «0».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shd w:fill="auto" w:val="clear"/>
        </w:rPr>
        <w:t xml:space="preserve">В ходе проведения настоящего мероприятия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shd w:fill="auto" w:val="clear"/>
        </w:rPr>
        <w:t xml:space="preserve">установлены случаи несоответствия </w:t>
      </w:r>
      <w:r>
        <w:rPr>
          <w:rFonts w:cs="Times New Roman" w:ascii="Times New Roman" w:hAnsi="Times New Roman"/>
          <w:color w:val="000000"/>
          <w:sz w:val="24"/>
          <w:szCs w:val="24"/>
          <w:shd w:fill="auto" w:val="clear"/>
        </w:rPr>
        <w:t>содержания текстовой части Пояснительной записки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shd w:fill="auto" w:val="clear"/>
        </w:rPr>
        <w:t xml:space="preserve"> к прогнозу </w:t>
      </w:r>
      <w:r>
        <w:rPr>
          <w:rFonts w:cs="Times New Roman" w:ascii="Times New Roman" w:hAnsi="Times New Roman"/>
          <w:color w:val="000000"/>
          <w:sz w:val="24"/>
          <w:szCs w:val="24"/>
          <w:shd w:fill="auto" w:val="clear"/>
        </w:rPr>
        <w:t>данным Прогноза социально-экономического развития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shd w:fill="auto" w:val="clear"/>
        </w:rPr>
        <w:t xml:space="preserve"> представленным в табличной форме (в Пояснительной записке удой на фуражную корову за 2023 год составил 3,215 тыс тонн, в Прогнозе 2,453 тыс. литров (разные единицы исчисления)); численность экономически активного населения в 2027 году не согласуется между Прогнозом и Пояснительной).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shd w:fill="auto" w:val="clear"/>
        </w:rPr>
        <w:t xml:space="preserve">В Пояснительной записке анализируются «среднедушевые денежные доходы населения» в то время как Прогноз социально-экономического развития содержит показатель «среднемесячная номинальная начисленная заработная плата», обращаем внимание, что данные показатели имеют разное значение. </w:t>
      </w:r>
    </w:p>
    <w:p>
      <w:pPr>
        <w:pStyle w:val="Default"/>
        <w:ind w:firstLine="709"/>
        <w:jc w:val="both"/>
        <w:rPr>
          <w:color w:val="auto"/>
        </w:rPr>
      </w:pPr>
      <w:r>
        <w:rPr>
          <w:b/>
          <w:color w:val="auto"/>
        </w:rPr>
        <w:t>Согласно Оценке ожидаемого исполнения бюджета поселения</w:t>
      </w:r>
      <w:r>
        <w:rPr>
          <w:color w:val="auto"/>
        </w:rPr>
        <w:t xml:space="preserve"> по итогам 2024 года исполнение доходной части бюджета предусмотрено с ростом к показателям </w:t>
      </w:r>
      <w:r>
        <w:rPr/>
        <w:t>уточненного планового значения бюджета, а расходной части бюджета</w:t>
      </w:r>
      <w:r>
        <w:rPr>
          <w:color w:val="auto"/>
        </w:rPr>
        <w:t xml:space="preserve"> в пределах показателей </w:t>
      </w:r>
      <w:bookmarkStart w:id="3" w:name="OLE_LINK11"/>
      <w:bookmarkStart w:id="4" w:name="OLE_LINK12"/>
      <w:r>
        <w:rPr>
          <w:color w:val="auto"/>
        </w:rPr>
        <w:t>уточненного планового значения</w:t>
      </w:r>
      <w:bookmarkEnd w:id="3"/>
      <w:bookmarkEnd w:id="4"/>
      <w:r>
        <w:rPr>
          <w:color w:val="auto"/>
        </w:rPr>
        <w:t xml:space="preserve"> бюджета на 2024 год.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 к проекту бюджета</w:t>
      </w:r>
      <w:r>
        <w:rPr>
          <w:rFonts w:cs="Times New Roman" w:ascii="Times New Roman" w:hAnsi="Times New Roman"/>
          <w:sz w:val="24"/>
          <w:szCs w:val="24"/>
        </w:rPr>
        <w:t xml:space="preserve"> на 2025 год и на плановый период 2026 и 2027 годов </w:t>
      </w:r>
      <w:r>
        <w:rPr>
          <w:rFonts w:cs="Times New Roman" w:ascii="Times New Roman" w:hAnsi="Times New Roman"/>
          <w:b/>
          <w:sz w:val="24"/>
          <w:szCs w:val="24"/>
        </w:rPr>
        <w:t xml:space="preserve">не содержит информации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(согласно ст.172 Бюджетного кодекса РФ),</w:t>
      </w:r>
      <w:r>
        <w:rPr>
          <w:rFonts w:cs="Times New Roman" w:ascii="Times New Roman" w:hAnsi="Times New Roman"/>
          <w:sz w:val="24"/>
          <w:szCs w:val="24"/>
        </w:rPr>
        <w:t xml:space="preserve"> что составление проекта бюджета осуществлялось в соответствии с:</w:t>
      </w:r>
    </w:p>
    <w:p>
      <w:pPr>
        <w:pStyle w:val="Normal"/>
        <w:spacing w:lineRule="auto" w:line="240" w:before="0" w:after="2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 положениями Послания Президента Российской Федерации Федеральному Собранию Российской Федерации от 29 февраля 2024 года;</w:t>
      </w:r>
    </w:p>
    <w:p>
      <w:pPr>
        <w:pStyle w:val="Normal"/>
        <w:numPr>
          <w:ilvl w:val="0"/>
          <w:numId w:val="0"/>
        </w:numPr>
        <w:spacing w:lineRule="auto" w:line="240"/>
        <w:ind w:firstLine="709" w:left="0"/>
        <w:jc w:val="both"/>
        <w:outlineLvl w:val="1"/>
        <w:rPr/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 национальными целями развития Российской Федерации на период </w:t>
        <w:br/>
        <w:t xml:space="preserve">до 2030 года и на перспективу до 2036 года, определенными </w:t>
        <w:br/>
        <w:t>Указом Президента Российской Федерации от 7 мая 2024 года № 309;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Рассмотрев направленный проект бюджета, пояснительную записку и справочный материал к проекту бюджета, а также другие документы, представленные одновременно с проектом бюджета контрольно-счетный орган муниципального образования отмечает следующее.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3.Основные характеристики проекта решения «О бюджете сельского поселения на 2025 год и плановый период 2026 и 2027 годов»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характеристики бюджета поселения на 2025 год и на плановый период 2026 и 2027 годов сформированы в соответствии с: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основными направлениями бюджетной и налоговой политики сельского поселения на 2025 год и на плановый период 2026 и 2027 годов;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основными показателями прогноза социально-экономического развития сельского поселения на 2025 год и на плановый период 2026 и 2027 годов;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муниципальными программами сельского поселения, проектами изменений указанных программ.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Основные характеристики бюджета поселения на 2025 год и на плановый период 2026 и 2027 годов рассматриваются в сопоставимых условиях с первоначальной редакцией бюджета 2024 года, </w:t>
      </w:r>
      <w:bookmarkStart w:id="5" w:name="OLE_LINK50"/>
      <w:bookmarkStart w:id="6" w:name="OLE_LINK51"/>
      <w:r>
        <w:rPr>
          <w:rFonts w:cs="Times New Roman" w:ascii="Times New Roman" w:hAnsi="Times New Roman"/>
          <w:sz w:val="24"/>
          <w:szCs w:val="24"/>
        </w:rPr>
        <w:t xml:space="preserve">утвержденным решением Совета депутатов Соловьевского сельского поселения </w:t>
      </w:r>
      <w:bookmarkEnd w:id="5"/>
      <w:bookmarkEnd w:id="6"/>
      <w:r>
        <w:rPr>
          <w:rFonts w:cs="Times New Roman" w:ascii="Times New Roman" w:hAnsi="Times New Roman"/>
          <w:sz w:val="24"/>
          <w:szCs w:val="24"/>
        </w:rPr>
        <w:t xml:space="preserve">от 07 декабря 2023 года № 58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«О бюджете сельского поселения на 2024 год и на плановый период 2025 и 2026 годов»</w:t>
      </w:r>
      <w:r>
        <w:rPr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(далее – решение № 58), и с уточненной редакцией бюджета  на 2024 год, утвержденным решением Совета депутатов Соловьевского сельского поселения от 24.09.2024 г № 28 «О внесении изменений в решение Совета от 07 декабря 2023 года 58 «О бюджете сельского поселения на 2024 год и на плановый период 2025 и 2026 годов».</w:t>
      </w:r>
    </w:p>
    <w:p>
      <w:pPr>
        <w:pStyle w:val="ListParagraph"/>
        <w:spacing w:lineRule="auto" w:line="240" w:before="0" w:after="0"/>
        <w:ind w:firstLine="709"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Данные об основных характеристиках местного бюджета на 2025 год и на плановый период 2026 и 2027 годов в сравнении с 2024 годом представлены в таблице.</w:t>
      </w:r>
    </w:p>
    <w:tbl>
      <w:tblPr>
        <w:tblStyle w:val="af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10"/>
        <w:gridCol w:w="1121"/>
        <w:gridCol w:w="1313"/>
        <w:gridCol w:w="1099"/>
        <w:gridCol w:w="711"/>
        <w:gridCol w:w="647"/>
        <w:gridCol w:w="1052"/>
        <w:gridCol w:w="736"/>
        <w:gridCol w:w="1111"/>
        <w:gridCol w:w="670"/>
      </w:tblGrid>
      <w:tr>
        <w:trPr/>
        <w:tc>
          <w:tcPr>
            <w:tcW w:w="111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2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 xml:space="preserve">Первоначальная редакция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решение Совета от 07.12.2023 №58</w:t>
            </w:r>
          </w:p>
        </w:tc>
        <w:tc>
          <w:tcPr>
            <w:tcW w:w="131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 учетом изменений (решение Совета от 24.09.2024 №28)</w:t>
            </w:r>
          </w:p>
        </w:tc>
        <w:tc>
          <w:tcPr>
            <w:tcW w:w="2457" w:type="dxa"/>
            <w:gridSpan w:val="3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 2025 год</w:t>
            </w:r>
          </w:p>
        </w:tc>
        <w:tc>
          <w:tcPr>
            <w:tcW w:w="1788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 2026 год</w:t>
            </w:r>
          </w:p>
        </w:tc>
        <w:tc>
          <w:tcPr>
            <w:tcW w:w="1781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 2027 год</w:t>
            </w:r>
          </w:p>
        </w:tc>
      </w:tr>
      <w:tr>
        <w:trPr/>
        <w:tc>
          <w:tcPr>
            <w:tcW w:w="111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2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31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9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сумма</w:t>
            </w:r>
          </w:p>
        </w:tc>
        <w:tc>
          <w:tcPr>
            <w:tcW w:w="1358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отношение к 2024 году, %</w:t>
            </w:r>
          </w:p>
        </w:tc>
        <w:tc>
          <w:tcPr>
            <w:tcW w:w="105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сумма</w:t>
            </w:r>
          </w:p>
        </w:tc>
        <w:tc>
          <w:tcPr>
            <w:tcW w:w="73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отношение к 2025 году,%</w:t>
            </w:r>
          </w:p>
        </w:tc>
        <w:tc>
          <w:tcPr>
            <w:tcW w:w="111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сумма</w:t>
            </w:r>
          </w:p>
        </w:tc>
        <w:tc>
          <w:tcPr>
            <w:tcW w:w="67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отношение к 2026 году, %</w:t>
            </w:r>
          </w:p>
        </w:tc>
      </w:tr>
      <w:tr>
        <w:trPr/>
        <w:tc>
          <w:tcPr>
            <w:tcW w:w="111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2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31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9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к первонач ред.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 учетом изменен.</w:t>
            </w:r>
          </w:p>
        </w:tc>
        <w:tc>
          <w:tcPr>
            <w:tcW w:w="105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3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1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Доходы, всего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12 351 897,52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13 363 947,52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13 314 999,28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107,80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99,66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12 424 558,42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93,31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13 043 225,94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99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bookmarkStart w:id="7" w:name="_Hlk120089219"/>
            <w:bookmarkEnd w:id="7"/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104,98</w:t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 том числе: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налоговые и неналоговые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8 866 776,00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8 983 064,00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9 585 724,10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108,11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106,71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9 579 860,32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99,94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10 046 626,47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104,87</w:t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3 485 121,52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4 380 883,52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3 729 275,18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107,01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85,13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2 844 698,10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76,28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2 996 599,47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105,34</w:t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расходы всего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12 351 897,52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16 311 446,90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13 314 999,28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107,80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81,63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12 424 558,42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93,31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13 043 225,94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104,98</w:t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 том числе: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за счет налоговых и неналоговых доходов, поступлений нецелевого характера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12 351 897,52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15 415 684,90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13 123 629,28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106,25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85,13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12 214 108,42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93,07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12 824 855,94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105,00</w:t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условно утверждаемые расходы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305 353,00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641 243,00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210,00</w:t>
            </w:r>
          </w:p>
        </w:tc>
      </w:tr>
      <w:tr>
        <w:trPr/>
        <w:tc>
          <w:tcPr>
            <w:tcW w:w="111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Дефицит (-), профицит (+)</w:t>
            </w:r>
          </w:p>
        </w:tc>
        <w:tc>
          <w:tcPr>
            <w:tcW w:w="11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-2 947 499,38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6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  <w:tc>
          <w:tcPr>
            <w:tcW w:w="11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0,00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bookmarkStart w:id="8" w:name="_Hlk152756866"/>
            <w:bookmarkEnd w:id="8"/>
            <w:r>
              <w:rPr>
                <w:rFonts w:eastAsia="Calibri" w:cs="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 бюджета на 2025 год и на плановый период 2026 и 2027 годов соответствует установленным БК РФ принципам сбалансированности бюджета (статья 33 БК РФ) и общего (совокупного) покрытия расходов бюджета (статья 35 БК РФ).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Проектом решения предлагается утвердить планируемое поступление доходных источников местного бюджета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в сумме </w:t>
      </w:r>
      <w:r>
        <w:rPr>
          <w:rFonts w:cs="Times New Roman" w:ascii="Times New Roman" w:hAnsi="Times New Roman"/>
          <w:sz w:val="24"/>
          <w:szCs w:val="24"/>
        </w:rPr>
        <w:t>13 314 999,28</w:t>
      </w:r>
      <w:r>
        <w:rPr>
          <w:rFonts w:cs="Times New Roman" w:ascii="Times New Roman" w:hAnsi="Times New Roman"/>
          <w:sz w:val="24"/>
          <w:szCs w:val="24"/>
        </w:rPr>
        <w:t xml:space="preserve"> рублей с ростом к уровню первоначальной редакции бюджета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(сопоставимые условия) на </w:t>
      </w:r>
      <w:r>
        <w:rPr>
          <w:rFonts w:cs="Times New Roman" w:ascii="Times New Roman" w:hAnsi="Times New Roman"/>
          <w:sz w:val="24"/>
          <w:szCs w:val="24"/>
        </w:rPr>
        <w:t>7,8</w:t>
      </w:r>
      <w:r>
        <w:rPr>
          <w:rFonts w:cs="Times New Roman" w:ascii="Times New Roman" w:hAnsi="Times New Roman"/>
          <w:sz w:val="24"/>
          <w:szCs w:val="24"/>
        </w:rPr>
        <w:t>0% и относительно уточненной редакции бюджета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ниже на </w:t>
      </w:r>
      <w:r>
        <w:rPr>
          <w:rFonts w:cs="Times New Roman" w:ascii="Times New Roman" w:hAnsi="Times New Roman"/>
          <w:sz w:val="24"/>
          <w:szCs w:val="24"/>
        </w:rPr>
        <w:t>0,34</w:t>
      </w:r>
      <w:r>
        <w:rPr>
          <w:rFonts w:cs="Times New Roman" w:ascii="Times New Roman" w:hAnsi="Times New Roman"/>
          <w:sz w:val="24"/>
          <w:szCs w:val="24"/>
        </w:rPr>
        <w:t>%.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года запланирован в сумме </w:t>
      </w:r>
      <w:r>
        <w:rPr>
          <w:rFonts w:cs="Times New Roman" w:ascii="Times New Roman" w:hAnsi="Times New Roman"/>
          <w:sz w:val="24"/>
          <w:szCs w:val="24"/>
        </w:rPr>
        <w:t>12 424 558,42</w:t>
      </w:r>
      <w:r>
        <w:rPr>
          <w:rFonts w:cs="Times New Roman" w:ascii="Times New Roman" w:hAnsi="Times New Roman"/>
          <w:sz w:val="24"/>
          <w:szCs w:val="24"/>
        </w:rPr>
        <w:t xml:space="preserve"> рублей со снижением к уровню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на 6,</w:t>
      </w:r>
      <w:r>
        <w:rPr>
          <w:rFonts w:cs="Times New Roman" w:ascii="Times New Roman" w:hAnsi="Times New Roman"/>
          <w:sz w:val="24"/>
          <w:szCs w:val="24"/>
        </w:rPr>
        <w:t>69</w:t>
      </w:r>
      <w:r>
        <w:rPr>
          <w:rFonts w:cs="Times New Roman" w:ascii="Times New Roman" w:hAnsi="Times New Roman"/>
          <w:sz w:val="24"/>
          <w:szCs w:val="24"/>
        </w:rPr>
        <w:t>%, в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году в сумме </w:t>
      </w:r>
      <w:r>
        <w:rPr>
          <w:rFonts w:cs="Times New Roman" w:ascii="Times New Roman" w:hAnsi="Times New Roman"/>
          <w:sz w:val="24"/>
          <w:szCs w:val="24"/>
        </w:rPr>
        <w:t>13 043 225,94</w:t>
      </w:r>
      <w:r>
        <w:rPr>
          <w:rFonts w:cs="Times New Roman" w:ascii="Times New Roman" w:hAnsi="Times New Roman"/>
          <w:sz w:val="24"/>
          <w:szCs w:val="24"/>
        </w:rPr>
        <w:t xml:space="preserve"> рублей с ростом к уровню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года на 4,</w:t>
      </w:r>
      <w:r>
        <w:rPr>
          <w:rFonts w:cs="Times New Roman" w:ascii="Times New Roman" w:hAnsi="Times New Roman"/>
          <w:sz w:val="24"/>
          <w:szCs w:val="24"/>
        </w:rPr>
        <w:t>98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ассигнования на исполнение действующих и принимаемых расходных обязательств запланированы на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в сумме 1</w:t>
      </w:r>
      <w:r>
        <w:rPr>
          <w:rFonts w:ascii="Times New Roman" w:hAnsi="Times New Roman"/>
          <w:sz w:val="24"/>
          <w:szCs w:val="24"/>
        </w:rPr>
        <w:t>3 123 629,28</w:t>
      </w:r>
      <w:r>
        <w:rPr>
          <w:rFonts w:ascii="Times New Roman" w:hAnsi="Times New Roman"/>
          <w:sz w:val="24"/>
          <w:szCs w:val="24"/>
        </w:rPr>
        <w:t xml:space="preserve"> рублей с ростом к уровню первоначальной редакции бюджета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на </w:t>
      </w:r>
      <w:r>
        <w:rPr>
          <w:rFonts w:ascii="Times New Roman" w:hAnsi="Times New Roman"/>
          <w:sz w:val="24"/>
          <w:szCs w:val="24"/>
        </w:rPr>
        <w:t>6,25</w:t>
      </w:r>
      <w:r>
        <w:rPr>
          <w:rFonts w:ascii="Times New Roman" w:hAnsi="Times New Roman"/>
          <w:sz w:val="24"/>
          <w:szCs w:val="24"/>
        </w:rPr>
        <w:t xml:space="preserve">% и со снижением  на </w:t>
      </w:r>
      <w:r>
        <w:rPr>
          <w:rFonts w:ascii="Times New Roman" w:hAnsi="Times New Roman"/>
          <w:sz w:val="24"/>
          <w:szCs w:val="24"/>
        </w:rPr>
        <w:t>14,87</w:t>
      </w:r>
      <w:r>
        <w:rPr>
          <w:rFonts w:ascii="Times New Roman" w:hAnsi="Times New Roman"/>
          <w:sz w:val="24"/>
          <w:szCs w:val="24"/>
        </w:rPr>
        <w:t xml:space="preserve"> % относительно уточненной редакции бюджета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года. В плановом периоде 202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года расходная часть предусмотрена в сумме </w:t>
      </w:r>
      <w:r>
        <w:rPr>
          <w:rFonts w:ascii="Times New Roman" w:hAnsi="Times New Roman"/>
          <w:sz w:val="24"/>
          <w:szCs w:val="24"/>
        </w:rPr>
        <w:t>12 424 558,42</w:t>
      </w:r>
      <w:r>
        <w:rPr>
          <w:rFonts w:ascii="Times New Roman" w:hAnsi="Times New Roman"/>
          <w:sz w:val="24"/>
          <w:szCs w:val="24"/>
        </w:rPr>
        <w:t xml:space="preserve"> рублей со снижением к уровню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на 6,</w:t>
      </w:r>
      <w:r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>%, в 202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году в сумме 1</w:t>
      </w:r>
      <w:r>
        <w:rPr>
          <w:rFonts w:ascii="Times New Roman" w:hAnsi="Times New Roman"/>
          <w:sz w:val="24"/>
          <w:szCs w:val="24"/>
        </w:rPr>
        <w:t>3 043 225,94</w:t>
      </w:r>
      <w:r>
        <w:rPr>
          <w:rFonts w:ascii="Times New Roman" w:hAnsi="Times New Roman"/>
          <w:sz w:val="24"/>
          <w:szCs w:val="24"/>
        </w:rPr>
        <w:t xml:space="preserve"> рублей с ростом к уровню 202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года на 4,</w:t>
      </w:r>
      <w:r>
        <w:rPr>
          <w:rFonts w:ascii="Times New Roman" w:hAnsi="Times New Roman"/>
          <w:sz w:val="24"/>
          <w:szCs w:val="24"/>
        </w:rPr>
        <w:t>98</w:t>
      </w:r>
      <w:r>
        <w:rPr>
          <w:rFonts w:ascii="Times New Roman" w:hAnsi="Times New Roman"/>
          <w:sz w:val="24"/>
          <w:szCs w:val="24"/>
        </w:rPr>
        <w:t>% (с  учетом условно утверждаемых расходов).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плановом периоде о</w:t>
      </w:r>
      <w:r>
        <w:rPr>
          <w:rFonts w:cs="Times New Roman" w:ascii="Times New Roman" w:hAnsi="Times New Roman"/>
          <w:sz w:val="24"/>
          <w:szCs w:val="24"/>
        </w:rPr>
        <w:t>бъем условно утверждаемых расходов на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годы сформирован в сумме </w:t>
      </w:r>
      <w:r>
        <w:rPr>
          <w:rFonts w:cs="Times New Roman" w:ascii="Times New Roman" w:hAnsi="Times New Roman"/>
          <w:sz w:val="24"/>
          <w:szCs w:val="24"/>
        </w:rPr>
        <w:t>305 353,00</w:t>
      </w:r>
      <w:r>
        <w:rPr>
          <w:rFonts w:cs="Times New Roman" w:ascii="Times New Roman" w:hAnsi="Times New Roman"/>
          <w:sz w:val="24"/>
          <w:szCs w:val="24"/>
        </w:rPr>
        <w:t xml:space="preserve"> рублей и </w:t>
      </w:r>
      <w:r>
        <w:rPr>
          <w:rFonts w:cs="Times New Roman" w:ascii="Times New Roman" w:hAnsi="Times New Roman"/>
          <w:sz w:val="24"/>
          <w:szCs w:val="24"/>
        </w:rPr>
        <w:t>641 243</w:t>
      </w:r>
      <w:r>
        <w:rPr>
          <w:rFonts w:cs="Times New Roman" w:ascii="Times New Roman" w:hAnsi="Times New Roman"/>
          <w:sz w:val="24"/>
          <w:szCs w:val="24"/>
        </w:rPr>
        <w:t xml:space="preserve">,00 рублей соответственно (без учета расходов бюджета предусмотренных за счет межбюджетных трансфертов из других бюджетов бюджетной системы РФ, имеющих целевое назначение), что соответствует требованиям пункту 3 статьи 184.1 БК РФ (не менее 2,5% и 5% соответственно по годам).  </w:t>
      </w:r>
      <w:r>
        <w:rPr>
          <w:rFonts w:cs="Times New Roman" w:ascii="Times New Roman" w:hAnsi="Times New Roman"/>
          <w:color w:val="000000"/>
          <w:sz w:val="24"/>
          <w:szCs w:val="24"/>
        </w:rPr>
        <w:t>Указанные расходы не распределены в плановом периоде по разделам, подразделам, целевым статьям и видам расходов в ведомственной структуре расходов бюджета как резерв на случай непредвиденного сокращения доходов бюджета. Если прогноз доходов подтвердится, этот резерв используется для принятия новых обязательств в очередном бюджетном цикле.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 бюджета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 предусмотрен сбалансированным.</w:t>
      </w:r>
    </w:p>
    <w:p>
      <w:pPr>
        <w:pStyle w:val="ListParagraph"/>
        <w:spacing w:lineRule="auto" w:line="240" w:before="0" w:after="0"/>
        <w:ind w:firstLine="709"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Доходы бюджета.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налоговых и неналоговых доходов местного бюджета осуществлялось на основе прогноза социально-экономического развития Соловьевского сельского поселения Полтавского муниципального района, основных направлений бюджетной и  налоговой политики, налогового и бюджетного законодательства, действовавшего на момент составления проекта бюджета и ожидаемой оценки поступлений по налоговым и неналоговым доходам в бюджет за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Предусмотренные проектом решения виды налоговых и неналоговых доходов местного бюджета соответствуют перечню, установленному БК РФ. </w:t>
      </w:r>
      <w:bookmarkStart w:id="9" w:name="OLE_LINK5"/>
      <w:bookmarkStart w:id="10" w:name="OLE_LINK4"/>
      <w:bookmarkEnd w:id="9"/>
      <w:bookmarkEnd w:id="10"/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соответствии со статьей 160.1 БК РФ прогноз налоговых и неналоговых доходов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 сформирован в объемах, спрогнозированных главными администраторами доходов местного бюджета по утвержденным им методикам.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Структура доходов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 xml:space="preserve">7 в сравнении с 2024 годом </w:t>
      </w:r>
      <w:r>
        <w:rPr>
          <w:rFonts w:cs="Times New Roman" w:ascii="Times New Roman" w:hAnsi="Times New Roman"/>
          <w:sz w:val="24"/>
          <w:szCs w:val="24"/>
        </w:rPr>
        <w:t>представлена в следующей таблице</w:t>
      </w:r>
    </w:p>
    <w:tbl>
      <w:tblPr>
        <w:tblStyle w:val="af3"/>
        <w:tblW w:w="10199" w:type="dxa"/>
        <w:jc w:val="left"/>
        <w:tblInd w:w="-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52"/>
        <w:gridCol w:w="1076"/>
        <w:gridCol w:w="1132"/>
        <w:gridCol w:w="1194"/>
        <w:gridCol w:w="625"/>
        <w:gridCol w:w="625"/>
        <w:gridCol w:w="1076"/>
        <w:gridCol w:w="618"/>
        <w:gridCol w:w="1084"/>
        <w:gridCol w:w="617"/>
      </w:tblGrid>
      <w:tr>
        <w:trPr/>
        <w:tc>
          <w:tcPr>
            <w:tcW w:w="215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Наименование  показателя</w:t>
            </w:r>
          </w:p>
        </w:tc>
        <w:tc>
          <w:tcPr>
            <w:tcW w:w="2208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Утверждено 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  <w:tc>
          <w:tcPr>
            <w:tcW w:w="5839" w:type="dxa"/>
            <w:gridSpan w:val="7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Предусмотрено проектом решения</w:t>
            </w:r>
          </w:p>
        </w:tc>
      </w:tr>
      <w:tr>
        <w:trPr/>
        <w:tc>
          <w:tcPr>
            <w:tcW w:w="215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6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первоначальная редакция, рублей 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(решение Совета  от 07.12.2023 №58)</w:t>
            </w:r>
          </w:p>
        </w:tc>
        <w:tc>
          <w:tcPr>
            <w:tcW w:w="113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с учетом изменений (ред. от 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.09.202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г) рублей</w:t>
            </w:r>
          </w:p>
        </w:tc>
        <w:tc>
          <w:tcPr>
            <w:tcW w:w="2444" w:type="dxa"/>
            <w:gridSpan w:val="3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  <w:tc>
          <w:tcPr>
            <w:tcW w:w="1694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</w:tr>
      <w:tr>
        <w:trPr>
          <w:trHeight w:val="746" w:hRule="atLeast"/>
        </w:trPr>
        <w:tc>
          <w:tcPr>
            <w:tcW w:w="215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6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32" w:type="dxa"/>
            <w:vMerge w:val="continue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 к первоначальной редакции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%с учетом изменений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</w:t>
            </w:r>
          </w:p>
        </w:tc>
      </w:tr>
      <w:tr>
        <w:trPr>
          <w:trHeight w:val="536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Налоговые и неналоговые доходы, в т.ч.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8 866 776,00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8 983 064,00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9 585 724,10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108,11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106,71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9 579 860,32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99,93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10 046 626,47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104,87</w:t>
            </w:r>
          </w:p>
        </w:tc>
      </w:tr>
      <w:tr>
        <w:trPr>
          <w:trHeight w:val="440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доходов.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71,78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67,22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71,99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77,10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77,03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налоговые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4 245 802,00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4 362 090,00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4 614 750,10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108,69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105,79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4 608 886,32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99,87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5 075 652,47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110,13</w:t>
            </w:r>
          </w:p>
        </w:tc>
      </w:tr>
      <w:tr>
        <w:trPr>
          <w:trHeight w:val="551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47,88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48,56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48,14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48,11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50,52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375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</w:t>
            </w: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и на прибыль,</w:t>
            </w: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 xml:space="preserve"> доход</w:t>
            </w: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ы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465 845,00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465 845,00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655 187,10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140,65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140,65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693 841,32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105,93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730 717,47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105,32</w:t>
            </w:r>
          </w:p>
        </w:tc>
      </w:tr>
      <w:tr>
        <w:trPr>
          <w:trHeight w:val="620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5,26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5,19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6,84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7,24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7,27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налоги на товары реализуемые на территории РФ(АКЦИЗЫ)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1 330 969,00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1 447 257,00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1 578 270,00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118,59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109,05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1 527 644,00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96,79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1 951 783,00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127,76</w:t>
            </w:r>
          </w:p>
        </w:tc>
      </w:tr>
      <w:tr>
        <w:trPr>
          <w:trHeight w:val="562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15,01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16,11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16,46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15,95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19,43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385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налоги на совокупный доход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329 988,00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329 988,00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436 293,00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132,21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132,21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442 401,00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101,40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448 152,00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101,30</w:t>
            </w:r>
          </w:p>
        </w:tc>
      </w:tr>
      <w:tr>
        <w:trPr>
          <w:trHeight w:val="549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3,72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3,67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4,55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4,62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4,46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налог на имущество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2 116 000,00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2 116 000,00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1 941 000,00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91,73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91,73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1 941 000,00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1 941 000,00 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529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23,86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23,56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20,25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20,26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19,32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государственная пошлина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3 000,00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3 000,00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4 000,00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133,33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133,33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4 000,00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4 000,00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506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0,03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0,03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0,04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0,04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0,04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неналоговые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4 620 974,00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4 620 974,00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4 970 974,00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107,57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107,57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4 970 974,00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4 970 974,00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562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52,12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51,44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51,86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51,89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49,48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746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4 620 974,00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4 620 974,00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4 620 974,00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4 620 974,00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4 620 974,00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100,00</w:t>
            </w:r>
          </w:p>
        </w:tc>
      </w:tr>
      <w:tr>
        <w:trPr>
          <w:trHeight w:val="561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52,12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51,44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48,21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48,24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46,00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746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350 000,00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350 000,00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350 000,00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</w:tr>
      <w:tr>
        <w:trPr>
          <w:trHeight w:val="560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налоговых и неналоговых доходов,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3,65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3,65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3,48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468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3 485 121,52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4 380 883,52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3 729 275,18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107,01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85,13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2 844 698,10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76,28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2 996 599,47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105,34</w:t>
            </w:r>
          </w:p>
        </w:tc>
      </w:tr>
      <w:tr>
        <w:trPr>
          <w:trHeight w:val="378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доходов.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28,22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32,78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28,01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22,90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22,97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559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Дотации бюджетам бюджетной системы Российской Федерации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3 485 121,52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3 485 121,52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3 537 905,18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101,51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101,51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2 634 248,10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74,46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2 778 229,47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105,47</w:t>
            </w:r>
          </w:p>
        </w:tc>
      </w:tr>
      <w:tr>
        <w:trPr>
          <w:trHeight w:val="556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безвозмездных поступлений,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79,55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94,87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92,60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92,71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546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171 588,00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191 370,00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111,53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210 450,00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109,97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218 370,00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103,76</w:t>
            </w:r>
          </w:p>
        </w:tc>
      </w:tr>
      <w:tr>
        <w:trPr>
          <w:trHeight w:val="481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безвозмездных поступлений,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3,92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5,13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7,4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7,29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 w:val="false"/>
                <w:bCs w:val="false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Иные межбюджетные трансферты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724 174,00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</w:tr>
      <w:tr>
        <w:trPr>
          <w:trHeight w:val="516" w:hRule="atLeast"/>
        </w:trPr>
        <w:tc>
          <w:tcPr>
            <w:tcW w:w="21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 вес в структуре безвозмездных поступлений, %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16,53</w:t>
            </w:r>
          </w:p>
        </w:tc>
        <w:tc>
          <w:tcPr>
            <w:tcW w:w="119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4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17" w:type="dxa"/>
            <w:tcBorders>
              <w:top w:val="nil"/>
            </w:tcBorders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21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Всего доходов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12 351 897,52</w:t>
            </w:r>
          </w:p>
        </w:tc>
        <w:tc>
          <w:tcPr>
            <w:tcW w:w="1132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13 363 947,52</w:t>
            </w:r>
          </w:p>
        </w:tc>
        <w:tc>
          <w:tcPr>
            <w:tcW w:w="119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13 314 999,28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107,80</w:t>
            </w:r>
          </w:p>
        </w:tc>
        <w:tc>
          <w:tcPr>
            <w:tcW w:w="6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99,63</w:t>
            </w:r>
          </w:p>
        </w:tc>
        <w:tc>
          <w:tcPr>
            <w:tcW w:w="1076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12 424 558,42</w:t>
            </w:r>
          </w:p>
        </w:tc>
        <w:tc>
          <w:tcPr>
            <w:tcW w:w="618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93,31</w:t>
            </w:r>
          </w:p>
        </w:tc>
        <w:tc>
          <w:tcPr>
            <w:tcW w:w="108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13 043 225,94</w:t>
            </w:r>
          </w:p>
        </w:tc>
        <w:tc>
          <w:tcPr>
            <w:tcW w:w="617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104,98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структуре доходных источников поселения группа налоговых и неналоговых доходов планируется в 2025 году в сумме </w:t>
      </w:r>
      <w:r>
        <w:rPr>
          <w:rFonts w:cs="Times New Roman" w:ascii="Times New Roman" w:hAnsi="Times New Roman"/>
          <w:sz w:val="24"/>
          <w:szCs w:val="24"/>
        </w:rPr>
        <w:t>9 585 724,10</w:t>
      </w:r>
      <w:r>
        <w:rPr>
          <w:rFonts w:cs="Times New Roman"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cs="Times New Roman" w:ascii="Times New Roman" w:hAnsi="Times New Roman"/>
          <w:sz w:val="24"/>
          <w:szCs w:val="24"/>
        </w:rPr>
        <w:t>71,99</w:t>
      </w:r>
      <w:r>
        <w:rPr>
          <w:rFonts w:cs="Times New Roman" w:ascii="Times New Roman" w:hAnsi="Times New Roman"/>
          <w:sz w:val="24"/>
          <w:szCs w:val="24"/>
        </w:rPr>
        <w:t xml:space="preserve">%), в 2026 году в сумме </w:t>
      </w:r>
      <w:r>
        <w:rPr>
          <w:rFonts w:cs="Times New Roman" w:ascii="Times New Roman" w:hAnsi="Times New Roman"/>
          <w:sz w:val="24"/>
          <w:szCs w:val="24"/>
        </w:rPr>
        <w:t>9 579 860,32</w:t>
      </w:r>
      <w:r>
        <w:rPr>
          <w:rFonts w:cs="Times New Roman"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cs="Times New Roman" w:ascii="Times New Roman" w:hAnsi="Times New Roman"/>
          <w:sz w:val="24"/>
          <w:szCs w:val="24"/>
        </w:rPr>
        <w:t>77,10</w:t>
      </w:r>
      <w:r>
        <w:rPr>
          <w:rFonts w:cs="Times New Roman" w:ascii="Times New Roman" w:hAnsi="Times New Roman"/>
          <w:sz w:val="24"/>
          <w:szCs w:val="24"/>
        </w:rPr>
        <w:t xml:space="preserve">%), в 2027 году в сумме </w:t>
      </w:r>
      <w:r>
        <w:rPr>
          <w:rFonts w:cs="Times New Roman" w:ascii="Times New Roman" w:hAnsi="Times New Roman"/>
          <w:sz w:val="24"/>
          <w:szCs w:val="24"/>
        </w:rPr>
        <w:t>10 046 626,47</w:t>
      </w:r>
      <w:r>
        <w:rPr>
          <w:rFonts w:cs="Times New Roman" w:ascii="Times New Roman" w:hAnsi="Times New Roman"/>
          <w:sz w:val="24"/>
          <w:szCs w:val="24"/>
        </w:rPr>
        <w:t xml:space="preserve"> рублей (доля в структуре доходов </w:t>
      </w:r>
      <w:r>
        <w:rPr>
          <w:rFonts w:cs="Times New Roman" w:ascii="Times New Roman" w:hAnsi="Times New Roman"/>
          <w:sz w:val="24"/>
          <w:szCs w:val="24"/>
        </w:rPr>
        <w:t>77,03</w:t>
      </w:r>
      <w:r>
        <w:rPr>
          <w:rFonts w:cs="Times New Roman" w:ascii="Times New Roman" w:hAnsi="Times New Roman"/>
          <w:sz w:val="24"/>
          <w:szCs w:val="24"/>
        </w:rPr>
        <w:t>%).</w:t>
        <w:tab/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Налоговые доходы запланированы на 2025 год в сумме 4 </w:t>
      </w:r>
      <w:r>
        <w:rPr>
          <w:rFonts w:cs="Times New Roman" w:ascii="Times New Roman" w:hAnsi="Times New Roman"/>
          <w:sz w:val="24"/>
          <w:szCs w:val="24"/>
        </w:rPr>
        <w:t>614 750,10</w:t>
      </w:r>
      <w:r>
        <w:rPr>
          <w:rFonts w:cs="Times New Roman" w:ascii="Times New Roman" w:hAnsi="Times New Roman"/>
          <w:sz w:val="24"/>
          <w:szCs w:val="24"/>
        </w:rPr>
        <w:t xml:space="preserve"> рублей (в  структуре налоговых и неналоговых доходов имеют долю </w:t>
      </w:r>
      <w:r>
        <w:rPr>
          <w:rFonts w:cs="Times New Roman" w:ascii="Times New Roman" w:hAnsi="Times New Roman"/>
          <w:sz w:val="24"/>
          <w:szCs w:val="24"/>
        </w:rPr>
        <w:t>48,14</w:t>
      </w:r>
      <w:r>
        <w:rPr>
          <w:rFonts w:cs="Times New Roman" w:ascii="Times New Roman" w:hAnsi="Times New Roman"/>
          <w:sz w:val="24"/>
          <w:szCs w:val="24"/>
        </w:rPr>
        <w:t>%) с ростом к уровню первоначально утвержденного бюджета (сопоставимые условия) на 8,</w:t>
      </w:r>
      <w:r>
        <w:rPr>
          <w:rFonts w:cs="Times New Roman" w:ascii="Times New Roman" w:hAnsi="Times New Roman"/>
          <w:sz w:val="24"/>
          <w:szCs w:val="24"/>
        </w:rPr>
        <w:t>69</w:t>
      </w:r>
      <w:r>
        <w:rPr>
          <w:rFonts w:cs="Times New Roman" w:ascii="Times New Roman" w:hAnsi="Times New Roman"/>
          <w:sz w:val="24"/>
          <w:szCs w:val="24"/>
        </w:rPr>
        <w:t xml:space="preserve">% и к уточненной редакции на </w:t>
      </w:r>
      <w:r>
        <w:rPr>
          <w:rFonts w:cs="Times New Roman" w:ascii="Times New Roman" w:hAnsi="Times New Roman"/>
          <w:sz w:val="24"/>
          <w:szCs w:val="24"/>
        </w:rPr>
        <w:t>5,79</w:t>
      </w:r>
      <w:r>
        <w:rPr>
          <w:rFonts w:cs="Times New Roman" w:ascii="Times New Roman" w:hAnsi="Times New Roman"/>
          <w:sz w:val="24"/>
          <w:szCs w:val="24"/>
        </w:rPr>
        <w:t xml:space="preserve">%, в плановом периоде 2026 года в сумме 4 </w:t>
      </w:r>
      <w:r>
        <w:rPr>
          <w:rFonts w:cs="Times New Roman" w:ascii="Times New Roman" w:hAnsi="Times New Roman"/>
          <w:sz w:val="24"/>
          <w:szCs w:val="24"/>
        </w:rPr>
        <w:t>608 886,32</w:t>
      </w:r>
      <w:r>
        <w:rPr>
          <w:rFonts w:cs="Times New Roman" w:ascii="Times New Roman" w:hAnsi="Times New Roman"/>
          <w:sz w:val="24"/>
          <w:szCs w:val="24"/>
        </w:rPr>
        <w:t xml:space="preserve">,00 рублей (в  структуре налоговых и неналоговых доходов имеют долю </w:t>
      </w:r>
      <w:r>
        <w:rPr>
          <w:rFonts w:cs="Times New Roman" w:ascii="Times New Roman" w:hAnsi="Times New Roman"/>
          <w:sz w:val="24"/>
          <w:szCs w:val="24"/>
        </w:rPr>
        <w:t>48,11</w:t>
      </w:r>
      <w:r>
        <w:rPr>
          <w:rFonts w:cs="Times New Roman" w:ascii="Times New Roman" w:hAnsi="Times New Roman"/>
          <w:sz w:val="24"/>
          <w:szCs w:val="24"/>
        </w:rPr>
        <w:t>%), со снижением к уровню 2025 года на 0,</w:t>
      </w:r>
      <w:r>
        <w:rPr>
          <w:rFonts w:cs="Times New Roman" w:ascii="Times New Roman" w:hAnsi="Times New Roman"/>
          <w:sz w:val="24"/>
          <w:szCs w:val="24"/>
        </w:rPr>
        <w:t>13</w:t>
      </w:r>
      <w:r>
        <w:rPr>
          <w:rFonts w:cs="Times New Roman" w:ascii="Times New Roman" w:hAnsi="Times New Roman"/>
          <w:sz w:val="24"/>
          <w:szCs w:val="24"/>
        </w:rPr>
        <w:t xml:space="preserve">%, в 2027 году в сумме </w:t>
      </w:r>
      <w:r>
        <w:rPr>
          <w:rFonts w:cs="Times New Roman" w:ascii="Times New Roman" w:hAnsi="Times New Roman"/>
          <w:sz w:val="24"/>
          <w:szCs w:val="24"/>
        </w:rPr>
        <w:t>5 075 652,47</w:t>
      </w:r>
      <w:r>
        <w:rPr>
          <w:rFonts w:cs="Times New Roman" w:ascii="Times New Roman" w:hAnsi="Times New Roman"/>
          <w:sz w:val="24"/>
          <w:szCs w:val="24"/>
        </w:rPr>
        <w:t xml:space="preserve"> рублей (в  структуре налоговых и неналоговых доходов имеют долю </w:t>
      </w:r>
      <w:r>
        <w:rPr>
          <w:rFonts w:cs="Times New Roman" w:ascii="Times New Roman" w:hAnsi="Times New Roman"/>
          <w:sz w:val="24"/>
          <w:szCs w:val="24"/>
        </w:rPr>
        <w:t>50,52</w:t>
      </w:r>
      <w:r>
        <w:rPr>
          <w:rFonts w:cs="Times New Roman" w:ascii="Times New Roman" w:hAnsi="Times New Roman"/>
          <w:sz w:val="24"/>
          <w:szCs w:val="24"/>
        </w:rPr>
        <w:t xml:space="preserve">%) с ростом к уровню 2027 года на </w:t>
      </w:r>
      <w:r>
        <w:rPr>
          <w:rFonts w:cs="Times New Roman" w:ascii="Times New Roman" w:hAnsi="Times New Roman"/>
          <w:sz w:val="24"/>
          <w:szCs w:val="24"/>
        </w:rPr>
        <w:t>10,13</w:t>
      </w:r>
      <w:r>
        <w:rPr>
          <w:rFonts w:cs="Times New Roman" w:ascii="Times New Roman" w:hAnsi="Times New Roman"/>
          <w:sz w:val="24"/>
          <w:szCs w:val="24"/>
        </w:rPr>
        <w:t xml:space="preserve">%. </w:t>
      </w:r>
    </w:p>
    <w:p>
      <w:pPr>
        <w:pStyle w:val="BodyTextIndent"/>
        <w:spacing w:before="0" w:after="0"/>
        <w:ind w:firstLine="709" w:left="0"/>
        <w:jc w:val="both"/>
        <w:rPr>
          <w:color w:val="000000"/>
        </w:rPr>
      </w:pPr>
      <w:r>
        <w:rPr>
          <w:rFonts w:cs="Times New Roman"/>
          <w:b/>
          <w:sz w:val="24"/>
          <w:szCs w:val="24"/>
        </w:rPr>
        <w:t>Налог на доход физических лиц</w:t>
      </w:r>
      <w:r>
        <w:rPr>
          <w:rFonts w:cs="Times New Roman"/>
          <w:sz w:val="24"/>
          <w:szCs w:val="24"/>
        </w:rPr>
        <w:t xml:space="preserve"> планируется на 202</w:t>
      </w:r>
      <w:r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 в сумме </w:t>
      </w:r>
      <w:r>
        <w:rPr>
          <w:rFonts w:cs="Times New Roman"/>
          <w:sz w:val="24"/>
          <w:szCs w:val="24"/>
        </w:rPr>
        <w:t>655 187,10</w:t>
      </w:r>
      <w:r>
        <w:rPr>
          <w:rFonts w:cs="Times New Roman"/>
          <w:sz w:val="24"/>
          <w:szCs w:val="24"/>
        </w:rPr>
        <w:t xml:space="preserve"> рублей (в  структуре налоговых и неналоговых доходов имеют долю </w:t>
      </w:r>
      <w:r>
        <w:rPr>
          <w:rFonts w:cs="Times New Roman"/>
          <w:sz w:val="24"/>
          <w:szCs w:val="24"/>
        </w:rPr>
        <w:t>6,84</w:t>
      </w:r>
      <w:r>
        <w:rPr>
          <w:rFonts w:cs="Times New Roman"/>
          <w:sz w:val="24"/>
          <w:szCs w:val="24"/>
        </w:rPr>
        <w:t xml:space="preserve">%) с ростом к уровню 2024 года на </w:t>
      </w:r>
      <w:r>
        <w:rPr>
          <w:rFonts w:cs="Times New Roman"/>
          <w:sz w:val="24"/>
          <w:szCs w:val="24"/>
        </w:rPr>
        <w:t>40,65</w:t>
      </w:r>
      <w:r>
        <w:rPr>
          <w:rFonts w:cs="Times New Roman"/>
          <w:sz w:val="24"/>
          <w:szCs w:val="24"/>
        </w:rPr>
        <w:t xml:space="preserve">%, на 2025 год в сумме </w:t>
      </w:r>
      <w:r>
        <w:rPr>
          <w:rFonts w:cs="Times New Roman"/>
          <w:sz w:val="24"/>
          <w:szCs w:val="24"/>
        </w:rPr>
        <w:t>693 841,32</w:t>
      </w:r>
      <w:r>
        <w:rPr>
          <w:rFonts w:cs="Times New Roman"/>
          <w:sz w:val="24"/>
          <w:szCs w:val="24"/>
        </w:rPr>
        <w:t xml:space="preserve"> рублей (в  структуре налоговых и неналоговых доходов имеют долю </w:t>
      </w:r>
      <w:r>
        <w:rPr>
          <w:rFonts w:cs="Times New Roman"/>
          <w:sz w:val="24"/>
          <w:szCs w:val="24"/>
        </w:rPr>
        <w:t>7,24</w:t>
      </w:r>
      <w:r>
        <w:rPr>
          <w:rFonts w:cs="Times New Roman"/>
          <w:sz w:val="24"/>
          <w:szCs w:val="24"/>
        </w:rPr>
        <w:t>%) с ростом к уровню 202</w:t>
      </w:r>
      <w:r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года на 5,</w:t>
      </w:r>
      <w:r>
        <w:rPr>
          <w:rFonts w:cs="Times New Roman"/>
          <w:sz w:val="24"/>
          <w:szCs w:val="24"/>
        </w:rPr>
        <w:t>93</w:t>
      </w:r>
      <w:r>
        <w:rPr>
          <w:rFonts w:cs="Times New Roman"/>
          <w:sz w:val="24"/>
          <w:szCs w:val="24"/>
        </w:rPr>
        <w:t>%, на 202</w:t>
      </w:r>
      <w:r>
        <w:rPr>
          <w:rFonts w:cs="Times New Roman"/>
          <w:sz w:val="24"/>
          <w:szCs w:val="24"/>
        </w:rPr>
        <w:t>7</w:t>
      </w:r>
      <w:r>
        <w:rPr>
          <w:rFonts w:cs="Times New Roman"/>
          <w:sz w:val="24"/>
          <w:szCs w:val="24"/>
        </w:rPr>
        <w:t xml:space="preserve"> год в сумме </w:t>
      </w:r>
      <w:r>
        <w:rPr>
          <w:rFonts w:cs="Times New Roman"/>
          <w:sz w:val="24"/>
          <w:szCs w:val="24"/>
        </w:rPr>
        <w:t xml:space="preserve">730 717,47 </w:t>
      </w:r>
      <w:r>
        <w:rPr>
          <w:rFonts w:cs="Times New Roman"/>
          <w:sz w:val="24"/>
          <w:szCs w:val="24"/>
        </w:rPr>
        <w:t xml:space="preserve">рублей (в  структуре налоговых и неналоговых доходов имеют долю </w:t>
      </w:r>
      <w:r>
        <w:rPr>
          <w:rFonts w:cs="Times New Roman"/>
          <w:sz w:val="24"/>
          <w:szCs w:val="24"/>
        </w:rPr>
        <w:t>7,27</w:t>
      </w:r>
      <w:r>
        <w:rPr>
          <w:rFonts w:cs="Times New Roman"/>
          <w:sz w:val="24"/>
          <w:szCs w:val="24"/>
        </w:rPr>
        <w:t>%) с ростом к уровню 202</w:t>
      </w:r>
      <w:r>
        <w:rPr>
          <w:rFonts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 xml:space="preserve"> года на 5,</w:t>
      </w:r>
      <w:r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2%.  Прогноз поступлений определен исходя из оценки ожидаемых поступлений по налогу на доходы физических лиц в 2023 году,  с учетом динамики показателя «Фонда начисленной заработной платы работников» прогноза социально-экономического развития Соловьевского сельского поселения на 202</w:t>
      </w:r>
      <w:r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 год и на плановый период </w:t>
      </w:r>
      <w:r>
        <w:rPr>
          <w:rFonts w:cs="Times New Roman"/>
          <w:color w:val="000000"/>
          <w:sz w:val="24"/>
          <w:szCs w:val="24"/>
        </w:rPr>
        <w:t>до 202</w:t>
      </w:r>
      <w:r>
        <w:rPr>
          <w:rFonts w:cs="Times New Roman"/>
          <w:color w:val="000000"/>
          <w:sz w:val="24"/>
          <w:szCs w:val="24"/>
        </w:rPr>
        <w:t>7</w:t>
      </w:r>
      <w:r>
        <w:rPr>
          <w:rFonts w:cs="Times New Roman"/>
          <w:color w:val="000000"/>
          <w:sz w:val="24"/>
          <w:szCs w:val="24"/>
        </w:rPr>
        <w:t xml:space="preserve"> года.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sz w:val="24"/>
          <w:szCs w:val="24"/>
        </w:rPr>
      </w:pPr>
      <w:r>
        <w:rPr>
          <w:rFonts w:eastAsia="Noto Sans CJK SC" w:cs="Times New Roman" w:ascii="Times New Roman" w:hAnsi="Times New Roman"/>
          <w:b/>
          <w:sz w:val="24"/>
          <w:szCs w:val="24"/>
        </w:rPr>
        <w:t>Налоги на товары (работы, услуги), реализуемые на территории Российской Федерации (</w:t>
      </w:r>
      <w:r>
        <w:rPr>
          <w:rFonts w:eastAsia="Noto Sans CJK SC" w:cs="Times New Roman" w:ascii="Times New Roman" w:hAnsi="Times New Roman"/>
          <w:sz w:val="24"/>
          <w:szCs w:val="24"/>
        </w:rPr>
        <w:t>Акцизы по подакцизным товарам (продукции), производимым на территории Российской Федерации</w:t>
      </w:r>
      <w:r>
        <w:rPr>
          <w:rFonts w:eastAsia="Noto Sans CJK SC" w:cs="Times New Roman" w:ascii="Times New Roman" w:hAnsi="Times New Roman"/>
          <w:b/>
          <w:sz w:val="24"/>
          <w:szCs w:val="24"/>
        </w:rPr>
        <w:t xml:space="preserve">) </w:t>
      </w:r>
      <w:r>
        <w:rPr>
          <w:rFonts w:eastAsia="Noto Sans CJK SC" w:cs="Times New Roman" w:ascii="Times New Roman" w:hAnsi="Times New Roman"/>
          <w:b w:val="false"/>
          <w:bCs w:val="false"/>
          <w:sz w:val="24"/>
          <w:szCs w:val="24"/>
        </w:rPr>
        <w:t>запланирова</w:t>
      </w:r>
      <w:r>
        <w:rPr>
          <w:rFonts w:eastAsia="Noto Sans CJK SC" w:cs="Times New Roman" w:ascii="Times New Roman" w:hAnsi="Times New Roman"/>
          <w:sz w:val="24"/>
          <w:szCs w:val="24"/>
        </w:rPr>
        <w:t>ны на 202</w:t>
      </w:r>
      <w:r>
        <w:rPr>
          <w:rFonts w:eastAsia="Noto Sans CJK SC" w:cs="Times New Roman" w:ascii="Times New Roman" w:hAnsi="Times New Roman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год в сумме 1 </w:t>
      </w:r>
      <w:r>
        <w:rPr>
          <w:rFonts w:eastAsia="Noto Sans CJK SC" w:cs="Times New Roman" w:ascii="Times New Roman" w:hAnsi="Times New Roman"/>
          <w:sz w:val="24"/>
          <w:szCs w:val="24"/>
        </w:rPr>
        <w:t>578 270</w:t>
      </w:r>
      <w:r>
        <w:rPr>
          <w:rFonts w:eastAsia="Noto Sans CJK SC" w:cs="Times New Roman" w:ascii="Times New Roman" w:hAnsi="Times New Roman"/>
          <w:sz w:val="24"/>
          <w:szCs w:val="24"/>
        </w:rPr>
        <w:t>,00 рублей (</w:t>
      </w:r>
      <w:r>
        <w:rPr>
          <w:rFonts w:eastAsia="Noto Sans CJK SC" w:cs="Times New Roman" w:ascii="Times New Roman" w:hAnsi="Times New Roman"/>
          <w:sz w:val="24"/>
          <w:szCs w:val="24"/>
        </w:rPr>
        <w:t>16,46</w:t>
      </w:r>
      <w:r>
        <w:rPr>
          <w:rFonts w:eastAsia="Noto Sans CJK SC" w:cs="Times New Roman" w:ascii="Times New Roman" w:hAnsi="Times New Roman"/>
          <w:sz w:val="24"/>
          <w:szCs w:val="24"/>
        </w:rPr>
        <w:t>% в структуре налоговых и неналоговых доходов) с ростом к уровню 202</w:t>
      </w:r>
      <w:r>
        <w:rPr>
          <w:rFonts w:eastAsia="Noto Sans CJK SC" w:cs="Times New Roman" w:ascii="Times New Roman" w:hAnsi="Times New Roman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sz w:val="24"/>
          <w:szCs w:val="24"/>
        </w:rPr>
        <w:t>9,05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% </w:t>
      </w:r>
      <w:r>
        <w:rPr>
          <w:rFonts w:eastAsia="Noto Sans CJK SC" w:cs="Times New Roman" w:ascii="Times New Roman" w:hAnsi="Times New Roman"/>
          <w:sz w:val="24"/>
          <w:szCs w:val="24"/>
        </w:rPr>
        <w:t>уточненной редакции бюджета</w:t>
      </w:r>
      <w:r>
        <w:rPr>
          <w:rFonts w:eastAsia="Noto Sans CJK SC" w:cs="Times New Roman" w:ascii="Times New Roman" w:hAnsi="Times New Roman"/>
          <w:sz w:val="24"/>
          <w:szCs w:val="24"/>
        </w:rPr>
        <w:t>, в 2025 году в сумме 1 </w:t>
      </w:r>
      <w:r>
        <w:rPr>
          <w:rFonts w:eastAsia="Noto Sans CJK SC" w:cs="Times New Roman" w:ascii="Times New Roman" w:hAnsi="Times New Roman"/>
          <w:sz w:val="24"/>
          <w:szCs w:val="24"/>
        </w:rPr>
        <w:t>527 644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,00 рублей </w:t>
      </w:r>
      <w:r>
        <w:rPr>
          <w:rFonts w:eastAsia="Noto Sans CJK SC" w:cs="Times New Roman" w:ascii="Times New Roman" w:hAnsi="Times New Roman"/>
          <w:sz w:val="24"/>
          <w:szCs w:val="24"/>
        </w:rPr>
        <w:t>(15,95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% в структуре налоговых и неналоговых доходов) </w:t>
      </w:r>
      <w:r>
        <w:rPr>
          <w:rFonts w:eastAsia="Noto Sans CJK SC" w:cs="Times New Roman" w:ascii="Times New Roman" w:hAnsi="Times New Roman"/>
          <w:sz w:val="24"/>
          <w:szCs w:val="24"/>
        </w:rPr>
        <w:t>со снижением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к уровню 202</w:t>
      </w:r>
      <w:r>
        <w:rPr>
          <w:rFonts w:eastAsia="Noto Sans CJK SC" w:cs="Times New Roman" w:ascii="Times New Roman" w:hAnsi="Times New Roman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sz w:val="24"/>
          <w:szCs w:val="24"/>
        </w:rPr>
        <w:t>3,21</w:t>
      </w:r>
      <w:r>
        <w:rPr>
          <w:rFonts w:eastAsia="Noto Sans CJK SC" w:cs="Times New Roman" w:ascii="Times New Roman" w:hAnsi="Times New Roman"/>
          <w:sz w:val="24"/>
          <w:szCs w:val="24"/>
        </w:rPr>
        <w:t>%, в 202</w:t>
      </w:r>
      <w:r>
        <w:rPr>
          <w:rFonts w:eastAsia="Noto Sans CJK SC" w:cs="Times New Roman" w:ascii="Times New Roman" w:hAnsi="Times New Roman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году в сумме 1 </w:t>
      </w:r>
      <w:r>
        <w:rPr>
          <w:rFonts w:eastAsia="Noto Sans CJK SC" w:cs="Times New Roman" w:ascii="Times New Roman" w:hAnsi="Times New Roman"/>
          <w:sz w:val="24"/>
          <w:szCs w:val="24"/>
        </w:rPr>
        <w:t>951 783,00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рублей </w:t>
      </w:r>
      <w:r>
        <w:rPr>
          <w:rFonts w:eastAsia="Noto Sans CJK SC" w:cs="Times New Roman" w:ascii="Times New Roman" w:hAnsi="Times New Roman"/>
          <w:sz w:val="24"/>
          <w:szCs w:val="24"/>
        </w:rPr>
        <w:t>(19,43</w:t>
      </w:r>
      <w:r>
        <w:rPr>
          <w:rFonts w:eastAsia="Noto Sans CJK SC" w:cs="Times New Roman" w:ascii="Times New Roman" w:hAnsi="Times New Roman"/>
          <w:sz w:val="24"/>
          <w:szCs w:val="24"/>
        </w:rPr>
        <w:t>% в структуре налоговых и неналоговых доходов)с ростом к уровню 202</w:t>
      </w:r>
      <w:r>
        <w:rPr>
          <w:rFonts w:eastAsia="Noto Sans CJK SC" w:cs="Times New Roman" w:ascii="Times New Roman" w:hAnsi="Times New Roman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sz w:val="24"/>
          <w:szCs w:val="24"/>
        </w:rPr>
        <w:t>27,76</w:t>
      </w:r>
      <w:r>
        <w:rPr>
          <w:rFonts w:eastAsia="Noto Sans CJK SC" w:cs="Times New Roman" w:ascii="Times New Roman" w:hAnsi="Times New Roman"/>
          <w:sz w:val="24"/>
          <w:szCs w:val="24"/>
        </w:rPr>
        <w:t>%.</w:t>
      </w:r>
    </w:p>
    <w:p>
      <w:pPr>
        <w:pStyle w:val="Style91"/>
        <w:widowControl/>
        <w:spacing w:lineRule="auto" w:line="240"/>
        <w:ind w:firstLine="709"/>
        <w:rPr/>
      </w:pPr>
      <w:r>
        <w:rPr/>
        <w:t>В бюджет поселения подлежат зачислению акцизы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</w:p>
    <w:p>
      <w:pPr>
        <w:pStyle w:val="Style91"/>
        <w:widowControl/>
        <w:spacing w:lineRule="auto" w:line="240" w:before="0" w:after="0"/>
        <w:ind w:firstLine="672" w:left="38" w:right="5"/>
        <w:contextualSpacing/>
        <w:rPr/>
      </w:pPr>
      <w:r>
        <w:rPr/>
        <w:t>Дифференцированный норматив отчисления в бюджет сельского поселения на 2025-2027 годы составляет 0,020</w:t>
      </w:r>
      <w:r>
        <w:rPr/>
        <w:t>1</w:t>
      </w:r>
      <w:r>
        <w:rPr/>
        <w:t>%, со снижением к уровню 2024 года на 0,001% (утвержден приложением № 3 к Закону Омской области «Об областном бюджете на 2025 год и на плановый период 2026 и 2027 годов»).</w:t>
      </w:r>
    </w:p>
    <w:p>
      <w:pPr>
        <w:pStyle w:val="BodyTextIndent"/>
        <w:spacing w:before="0" w:after="0"/>
        <w:ind w:firstLine="709" w:left="0"/>
        <w:jc w:val="both"/>
        <w:rPr/>
      </w:pPr>
      <w:r>
        <w:rPr>
          <w:b w:val="false"/>
          <w:bCs w:val="false"/>
          <w:color w:val="000000"/>
        </w:rPr>
        <w:t>Планирование</w:t>
      </w:r>
      <w:r>
        <w:rPr>
          <w:b/>
          <w:color w:val="000000"/>
        </w:rPr>
        <w:t xml:space="preserve"> налога на совокупный доход (единый сельскохозяйственный налог) </w:t>
      </w:r>
      <w:r>
        <w:rPr/>
        <w:t>основано на оценке ожидаемого поступления в 202</w:t>
      </w:r>
      <w:r>
        <w:rPr/>
        <w:t>4</w:t>
      </w:r>
      <w:r>
        <w:rPr/>
        <w:t xml:space="preserve"> году. В 202</w:t>
      </w:r>
      <w:r>
        <w:rPr/>
        <w:t>5</w:t>
      </w:r>
      <w:r>
        <w:rPr/>
        <w:t xml:space="preserve"> году предусмотрено поступление в сумме </w:t>
      </w:r>
      <w:r>
        <w:rPr/>
        <w:t>436 293,00</w:t>
      </w:r>
      <w:r>
        <w:rPr/>
        <w:t xml:space="preserve"> рублей </w:t>
      </w:r>
      <w:r>
        <w:rPr>
          <w:rFonts w:eastAsia="Noto Sans CJK SC" w:cs="Times New Roman"/>
          <w:sz w:val="24"/>
          <w:szCs w:val="24"/>
        </w:rPr>
        <w:t>(4,55</w:t>
      </w:r>
      <w:r>
        <w:rPr>
          <w:rFonts w:eastAsia="Noto Sans CJK SC" w:cs="Times New Roman"/>
          <w:sz w:val="24"/>
          <w:szCs w:val="24"/>
        </w:rPr>
        <w:t xml:space="preserve">% </w:t>
      </w:r>
      <w:r>
        <w:rPr>
          <w:rFonts w:eastAsia="Noto Sans CJK SC" w:cs="Times New Roman"/>
          <w:sz w:val="24"/>
          <w:szCs w:val="24"/>
        </w:rPr>
        <w:t xml:space="preserve">доля </w:t>
      </w:r>
      <w:r>
        <w:rPr>
          <w:rFonts w:eastAsia="Noto Sans CJK SC" w:cs="Times New Roman"/>
          <w:sz w:val="24"/>
          <w:szCs w:val="24"/>
        </w:rPr>
        <w:t>в структуре налоговых и неналоговых доходов)</w:t>
      </w:r>
      <w:r>
        <w:rPr/>
        <w:t xml:space="preserve"> с ростом к уровню 202</w:t>
      </w:r>
      <w:r>
        <w:rPr/>
        <w:t>4</w:t>
      </w:r>
      <w:r>
        <w:rPr/>
        <w:t xml:space="preserve"> года </w:t>
      </w:r>
      <w:r>
        <w:rPr/>
        <w:t>на 32,21%</w:t>
      </w:r>
      <w:r>
        <w:rPr/>
        <w:t>, в 202</w:t>
      </w:r>
      <w:r>
        <w:rPr/>
        <w:t>6</w:t>
      </w:r>
      <w:r>
        <w:rPr/>
        <w:t xml:space="preserve"> году в сумме </w:t>
      </w:r>
      <w:r>
        <w:rPr/>
        <w:t>442 401,00</w:t>
      </w:r>
      <w:r>
        <w:rPr/>
        <w:t xml:space="preserve"> рублей с ростом к уровню 202</w:t>
      </w:r>
      <w:r>
        <w:rPr/>
        <w:t>5</w:t>
      </w:r>
      <w:r>
        <w:rPr/>
        <w:t xml:space="preserve"> года на </w:t>
      </w:r>
      <w:r>
        <w:rPr/>
        <w:t>1,40</w:t>
      </w:r>
      <w:r>
        <w:rPr/>
        <w:t>%, в 202</w:t>
      </w:r>
      <w:r>
        <w:rPr/>
        <w:t>7</w:t>
      </w:r>
      <w:r>
        <w:rPr/>
        <w:t xml:space="preserve"> году в сумме </w:t>
      </w:r>
      <w:r>
        <w:rPr/>
        <w:t>448 152</w:t>
      </w:r>
      <w:r>
        <w:rPr/>
        <w:t>,00 рублей с ростом к уровню 202</w:t>
      </w:r>
      <w:r>
        <w:rPr/>
        <w:t>6</w:t>
      </w:r>
      <w:r>
        <w:rPr/>
        <w:t xml:space="preserve"> года на </w:t>
      </w:r>
      <w:r>
        <w:rPr/>
        <w:t>1,30</w:t>
      </w:r>
      <w:r>
        <w:rPr/>
        <w:t>%.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проекте бюджета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поступление </w:t>
      </w:r>
      <w:r>
        <w:rPr>
          <w:rFonts w:cs="Times New Roman" w:ascii="Times New Roman" w:hAnsi="Times New Roman"/>
          <w:b/>
          <w:sz w:val="24"/>
          <w:szCs w:val="24"/>
        </w:rPr>
        <w:t>налога на имущество</w:t>
      </w:r>
      <w:r>
        <w:rPr>
          <w:rFonts w:cs="Times New Roman" w:ascii="Times New Roman" w:hAnsi="Times New Roman"/>
          <w:sz w:val="24"/>
          <w:szCs w:val="24"/>
        </w:rPr>
        <w:t xml:space="preserve"> прогнозируется в сумме </w:t>
      </w:r>
      <w:r>
        <w:rPr>
          <w:rFonts w:cs="Times New Roman" w:ascii="Times New Roman" w:hAnsi="Times New Roman"/>
          <w:sz w:val="24"/>
          <w:szCs w:val="24"/>
        </w:rPr>
        <w:t xml:space="preserve">1 941 </w:t>
      </w:r>
      <w:r>
        <w:rPr>
          <w:rFonts w:cs="Times New Roman" w:ascii="Times New Roman" w:hAnsi="Times New Roman"/>
          <w:sz w:val="24"/>
          <w:szCs w:val="24"/>
        </w:rPr>
        <w:t xml:space="preserve">000,00 рублей </w:t>
      </w:r>
      <w:r>
        <w:rPr>
          <w:rFonts w:eastAsia="Noto Sans CJK SC" w:cs="Times New Roman" w:ascii="Times New Roman" w:hAnsi="Times New Roman"/>
          <w:sz w:val="24"/>
          <w:szCs w:val="24"/>
        </w:rPr>
        <w:t>(20,25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% </w:t>
      </w:r>
      <w:r>
        <w:rPr>
          <w:rFonts w:eastAsia="Noto Sans CJK SC" w:cs="Times New Roman" w:ascii="Times New Roman" w:hAnsi="Times New Roman"/>
          <w:sz w:val="24"/>
          <w:szCs w:val="24"/>
        </w:rPr>
        <w:t xml:space="preserve">доля </w:t>
      </w:r>
      <w:r>
        <w:rPr>
          <w:rFonts w:eastAsia="Noto Sans CJK SC" w:cs="Times New Roman" w:ascii="Times New Roman" w:hAnsi="Times New Roman"/>
          <w:sz w:val="24"/>
          <w:szCs w:val="24"/>
        </w:rPr>
        <w:t>в структуре налоговых и неналоговых доходов)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 снижением</w:t>
      </w:r>
      <w:r>
        <w:rPr>
          <w:rFonts w:cs="Times New Roman" w:ascii="Times New Roman" w:hAnsi="Times New Roman"/>
          <w:sz w:val="24"/>
          <w:szCs w:val="24"/>
        </w:rPr>
        <w:t xml:space="preserve"> к уровню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8,27</w:t>
      </w:r>
      <w:r>
        <w:rPr>
          <w:rFonts w:cs="Times New Roman" w:ascii="Times New Roman" w:hAnsi="Times New Roman"/>
          <w:sz w:val="24"/>
          <w:szCs w:val="24"/>
        </w:rPr>
        <w:t>%, в плановом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году поступление предусмотрено на уровне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года.</w:t>
      </w:r>
    </w:p>
    <w:p>
      <w:pPr>
        <w:pStyle w:val="BodyTextIndent"/>
        <w:spacing w:before="0" w:after="0"/>
        <w:ind w:firstLine="709" w:left="0"/>
        <w:jc w:val="both"/>
        <w:rPr/>
      </w:pPr>
      <w:r>
        <w:rPr>
          <w:color w:val="000000"/>
        </w:rPr>
        <w:t>Поступление</w:t>
      </w:r>
      <w:r>
        <w:rPr/>
        <w:t xml:space="preserve"> </w:t>
      </w:r>
      <w:r>
        <w:rPr>
          <w:b/>
        </w:rPr>
        <w:t>государственной пошлины</w:t>
      </w:r>
      <w:r>
        <w:rPr/>
        <w:t xml:space="preserve"> в 202</w:t>
      </w:r>
      <w:r>
        <w:rPr/>
        <w:t>5</w:t>
      </w:r>
      <w:r>
        <w:rPr/>
        <w:t xml:space="preserve"> планируется в сумме </w:t>
      </w:r>
      <w:r>
        <w:rPr/>
        <w:t>4</w:t>
      </w:r>
      <w:r>
        <w:rPr/>
        <w:t xml:space="preserve"> 000,00 рублей </w:t>
      </w:r>
      <w:r>
        <w:rPr>
          <w:rFonts w:eastAsia="Noto Sans CJK SC" w:cs="Times New Roman"/>
          <w:sz w:val="24"/>
          <w:szCs w:val="24"/>
        </w:rPr>
        <w:t>(0,04</w:t>
      </w:r>
      <w:r>
        <w:rPr>
          <w:rFonts w:eastAsia="Noto Sans CJK SC" w:cs="Times New Roman"/>
          <w:sz w:val="24"/>
          <w:szCs w:val="24"/>
        </w:rPr>
        <w:t xml:space="preserve">% </w:t>
      </w:r>
      <w:r>
        <w:rPr>
          <w:rFonts w:eastAsia="Noto Sans CJK SC" w:cs="Times New Roman"/>
          <w:sz w:val="24"/>
          <w:szCs w:val="24"/>
        </w:rPr>
        <w:t xml:space="preserve">доля </w:t>
      </w:r>
      <w:r>
        <w:rPr>
          <w:rFonts w:eastAsia="Noto Sans CJK SC" w:cs="Times New Roman"/>
          <w:sz w:val="24"/>
          <w:szCs w:val="24"/>
        </w:rPr>
        <w:t>в структуре налоговых и неналоговых доходов)</w:t>
      </w:r>
      <w:r>
        <w:rPr/>
        <w:t xml:space="preserve"> </w:t>
      </w:r>
      <w:r>
        <w:rPr/>
        <w:t>с ростом</w:t>
      </w:r>
      <w:r>
        <w:rPr/>
        <w:t xml:space="preserve"> к уровню 202</w:t>
      </w:r>
      <w:r>
        <w:rPr/>
        <w:t>4</w:t>
      </w:r>
      <w:r>
        <w:rPr/>
        <w:t xml:space="preserve"> года на </w:t>
      </w:r>
      <w:r>
        <w:rPr/>
        <w:t>33,33</w:t>
      </w:r>
      <w:r>
        <w:rPr/>
        <w:t>%, в плановом 202</w:t>
      </w:r>
      <w:r>
        <w:rPr/>
        <w:t>6</w:t>
      </w:r>
      <w:r>
        <w:rPr/>
        <w:t xml:space="preserve"> и 202</w:t>
      </w:r>
      <w:r>
        <w:rPr/>
        <w:t>7</w:t>
      </w:r>
      <w:r>
        <w:rPr/>
        <w:t xml:space="preserve">  годах в сумме поступления 202</w:t>
      </w:r>
      <w:r>
        <w:rPr/>
        <w:t>5</w:t>
      </w:r>
      <w:r>
        <w:rPr/>
        <w:t xml:space="preserve"> года. Прогноз поступления государственной пошлины производился на основании оценки ожидаемых поступлений в 202</w:t>
      </w:r>
      <w:r>
        <w:rPr/>
        <w:t>4</w:t>
      </w:r>
      <w:r>
        <w:rPr/>
        <w:t xml:space="preserve"> году исходя из сложившейся базы поступлений налога.</w:t>
      </w:r>
    </w:p>
    <w:p>
      <w:pPr>
        <w:pStyle w:val="BodyTextIndent"/>
        <w:spacing w:before="0" w:after="0"/>
        <w:ind w:firstLine="709" w:left="0"/>
        <w:jc w:val="both"/>
        <w:rPr/>
      </w:pPr>
      <w:r>
        <w:rPr>
          <w:b/>
        </w:rPr>
        <w:t>Неналоговые доходы</w:t>
      </w:r>
      <w:r>
        <w:rPr/>
        <w:t xml:space="preserve"> имеют долю в структуре налоговых и неналоговых доходов в 202</w:t>
      </w:r>
      <w:r>
        <w:rPr/>
        <w:t>5</w:t>
      </w:r>
      <w:r>
        <w:rPr/>
        <w:t xml:space="preserve"> году </w:t>
      </w:r>
      <w:r>
        <w:rPr/>
        <w:t>51,86</w:t>
      </w:r>
      <w:r>
        <w:rPr/>
        <w:t xml:space="preserve">% </w:t>
      </w:r>
      <w:r>
        <w:rPr/>
        <w:t>и запланированы в сумме 4 970 974,00 рублей</w:t>
      </w:r>
      <w:r>
        <w:rPr/>
        <w:t xml:space="preserve">, </w:t>
      </w:r>
      <w:r>
        <w:rPr/>
        <w:t>с ростом к уровню поступлений 2024 года на 7,57%,</w:t>
      </w:r>
      <w:r>
        <w:rPr/>
        <w:t xml:space="preserve"> в </w:t>
      </w:r>
      <w:r>
        <w:rPr/>
        <w:t xml:space="preserve">плановом периоде </w:t>
      </w:r>
      <w:r>
        <w:rPr/>
        <w:t>202</w:t>
      </w:r>
      <w:r>
        <w:rPr/>
        <w:t>6 и 2027</w:t>
      </w:r>
      <w:r>
        <w:rPr/>
        <w:t xml:space="preserve"> год</w:t>
      </w:r>
      <w:r>
        <w:rPr/>
        <w:t>ов поступление прогнозируется на уровне 2025 года</w:t>
      </w:r>
      <w:r>
        <w:rPr/>
        <w:t xml:space="preserve"> </w:t>
      </w:r>
    </w:p>
    <w:p>
      <w:pPr>
        <w:pStyle w:val="BodyTextIndent"/>
        <w:spacing w:before="0" w:after="0"/>
        <w:ind w:firstLine="709" w:left="0"/>
        <w:jc w:val="both"/>
        <w:rPr/>
      </w:pPr>
      <w:r>
        <w:rPr/>
        <w:t xml:space="preserve">Основным источником является поступление </w:t>
      </w:r>
      <w:r>
        <w:rPr>
          <w:i/>
        </w:rPr>
        <w:t>дохода от использования имущества находящегося в государственной и муниципальной собственности</w:t>
      </w:r>
      <w:r>
        <w:rPr/>
        <w:t>. В 202</w:t>
      </w:r>
      <w:r>
        <w:rPr/>
        <w:t>5</w:t>
      </w:r>
      <w:r>
        <w:rPr/>
        <w:t xml:space="preserve"> году </w:t>
      </w:r>
      <w:r>
        <w:rPr/>
        <w:t xml:space="preserve">и плановом периоде </w:t>
      </w:r>
      <w:r>
        <w:rPr/>
        <w:t>202</w:t>
      </w:r>
      <w:r>
        <w:rPr/>
        <w:t>6 и 2027</w:t>
      </w:r>
      <w:r>
        <w:rPr/>
        <w:t xml:space="preserve"> год</w:t>
      </w:r>
      <w:r>
        <w:rPr/>
        <w:t>ов</w:t>
      </w:r>
      <w:r>
        <w:rPr/>
        <w:t xml:space="preserve"> проектом решения прогнозируется поступление на уровне 2024 года. </w:t>
      </w:r>
      <w:r>
        <w:rPr/>
        <w:t xml:space="preserve">Доходы от оказания платных услуг и компенсации затрат государством планируется в 2025 году и плановом периоде 2026 и 2027 годов в сумме 350 000,00 рублей ежегодно. </w:t>
      </w:r>
    </w:p>
    <w:p>
      <w:pPr>
        <w:pStyle w:val="BodyTextIndent"/>
        <w:spacing w:before="0" w:after="0"/>
        <w:ind w:firstLine="709" w:left="0"/>
        <w:jc w:val="both"/>
        <w:rPr>
          <w:color w:val="000000"/>
        </w:rPr>
      </w:pPr>
      <w:r>
        <w:rPr>
          <w:b/>
        </w:rPr>
        <w:t>Безвозмездные поступления</w:t>
      </w:r>
      <w:r>
        <w:rPr/>
        <w:t xml:space="preserve"> в проекте бюджета  </w:t>
      </w:r>
      <w:r>
        <w:rPr/>
        <w:t>ожидаются к поступлению в 2025 году в размере 3 729 275,18 рублей (доля в структуре доходов 28,01%) с ростом  к 2024 году первоначальной редакции бюджета (сопоставимые условия) на 7,01% и снижением к уточненной редакции на 14,87%,</w:t>
      </w:r>
      <w:r>
        <w:rPr/>
        <w:t xml:space="preserve"> </w:t>
      </w:r>
      <w:r>
        <w:rPr/>
        <w:t xml:space="preserve">в том числе поступление </w:t>
      </w:r>
      <w:r>
        <w:rPr>
          <w:i/>
        </w:rPr>
        <w:t>дотации на выравнивание бюджетной обеспеченности</w:t>
      </w:r>
      <w:r>
        <w:rPr/>
        <w:t xml:space="preserve"> из бюджета районного бюджета в бюджет поселения </w:t>
      </w:r>
      <w:r>
        <w:rPr/>
        <w:t>предусмотрены в сумме 3 537 905,18 рублей (доля в структуре безвозмезднх поступлений 94,87%) с ростом к уровню 2024 года на 1,51%</w:t>
      </w:r>
      <w:r>
        <w:rPr/>
        <w:t xml:space="preserve">. В </w:t>
      </w:r>
      <w:r>
        <w:rPr/>
        <w:t xml:space="preserve">плановом периоде 2026 года безвозмездные поступления планируются в усмме 2 844 698,10 рублей (доля в структуре доходов 22,90%) со снижением к уровню 2025 года на 23,72%, в 2027 году в сумме 2 996 599,47 рублей (доля в структуре доходов 22,97%) с ростом к уровню 2026 года на 5,34%. Дотации  </w:t>
      </w:r>
      <w:r>
        <w:rPr>
          <w:i/>
        </w:rPr>
        <w:t>на выравнивание бюджетной обеспеченности</w:t>
      </w:r>
      <w:r>
        <w:rPr/>
        <w:t xml:space="preserve"> из бюджета районного бюджета в бюджет поселения предусмотрены на плановый 2026 и 2027 год в сумме 2 634 248,10 рублей со снижением к уровню 2025 года на 25,54% и 2 778 229,47 рублей с ростом к уровню 2026 года на 5,47% соответсвенно.</w:t>
      </w:r>
    </w:p>
    <w:p>
      <w:pPr>
        <w:pStyle w:val="BodyTextIndent"/>
        <w:spacing w:before="0" w:after="0"/>
        <w:ind w:firstLine="709" w:left="0"/>
        <w:jc w:val="both"/>
        <w:rPr>
          <w:color w:val="000000"/>
        </w:rPr>
      </w:pPr>
      <w:r>
        <w:rPr>
          <w:rFonts w:cs="Times New Roman"/>
          <w:sz w:val="24"/>
          <w:szCs w:val="24"/>
        </w:rPr>
        <w:t>Безвозмездные поступления целевого характера из федерального бюджета отражены в доходной и расходной частях местного бюджета по соответствующим кодам бюджетной классификации на 2025 год в сумме 191 370,00 рублей (доля в структуре безвозмездных поступлений 5,13%) с ростом на 11,53 % к уровню 2024 года, на плановый период 2026 и 2027 годов в сумме 210 450,00 рублей и 218 370,00 рублей с ростом на 9,97% и 3,76% соответственно.</w:t>
      </w:r>
      <w:r>
        <w:rPr/>
        <w:t xml:space="preserve"> </w:t>
      </w:r>
    </w:p>
    <w:p>
      <w:pPr>
        <w:pStyle w:val="Style91"/>
        <w:widowControl/>
        <w:spacing w:lineRule="auto" w:line="240"/>
        <w:ind w:firstLine="672" w:left="38" w:right="5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center"/>
        <w:rPr>
          <w:rStyle w:val="FontStyle34"/>
          <w:b/>
          <w:sz w:val="24"/>
          <w:szCs w:val="24"/>
        </w:rPr>
      </w:pPr>
      <w:r>
        <w:rPr>
          <w:rStyle w:val="FontStyle34"/>
          <w:b/>
          <w:sz w:val="24"/>
          <w:szCs w:val="24"/>
        </w:rPr>
        <w:t>3.2. Расходы бюджета</w:t>
      </w:r>
    </w:p>
    <w:p>
      <w:pPr>
        <w:pStyle w:val="Title"/>
        <w:tabs>
          <w:tab w:val="clear" w:pos="708"/>
          <w:tab w:val="left" w:pos="567" w:leader="none"/>
        </w:tabs>
        <w:ind w:firstLine="709"/>
        <w:jc w:val="both"/>
        <w:rPr>
          <w:sz w:val="24"/>
        </w:rPr>
      </w:pPr>
      <w:r>
        <w:rPr>
          <w:sz w:val="24"/>
        </w:rPr>
        <w:t>Расходы бюджета на 202</w:t>
      </w:r>
      <w:r>
        <w:rPr>
          <w:sz w:val="24"/>
        </w:rPr>
        <w:t>5</w:t>
      </w:r>
      <w:r>
        <w:rPr>
          <w:sz w:val="24"/>
        </w:rPr>
        <w:t xml:space="preserve"> год и плановый период 202</w:t>
      </w:r>
      <w:r>
        <w:rPr>
          <w:sz w:val="24"/>
        </w:rPr>
        <w:t>6</w:t>
      </w:r>
      <w:r>
        <w:rPr>
          <w:sz w:val="24"/>
        </w:rPr>
        <w:t xml:space="preserve"> и 202</w:t>
      </w:r>
      <w:r>
        <w:rPr>
          <w:sz w:val="24"/>
        </w:rPr>
        <w:t>7</w:t>
      </w:r>
      <w:r>
        <w:rPr>
          <w:sz w:val="24"/>
        </w:rPr>
        <w:t xml:space="preserve"> годов сформированы с учетом требований ст. 184.1.,184.2. БК РФ, в разрезе муниципальных программ, финансирование которых составляет 100,00% от общего объема расходов в 2024-2026 годах.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Расходная часть бюджета сформирована в соответствии с законодательно обусловленными расходными обязательствами, исполнение которых должно производиться в очередном финансовом году и плановом периоде за счет бюджетных средств. </w:t>
      </w:r>
      <w:r>
        <w:rPr>
          <w:rFonts w:cs="Times New Roman" w:ascii="Times New Roman" w:hAnsi="Times New Roman"/>
          <w:bCs/>
          <w:sz w:val="24"/>
          <w:szCs w:val="24"/>
        </w:rPr>
        <w:t>Расчет планируемых ассигнований  учитывает уровень инфляции текущего года и прогнозируемого на 202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bCs/>
          <w:sz w:val="24"/>
          <w:szCs w:val="24"/>
        </w:rPr>
        <w:t xml:space="preserve"> год, планируемую индексацию социальных выплат.</w:t>
      </w:r>
      <w:bookmarkStart w:id="11" w:name="OLE_LINK24"/>
      <w:bookmarkStart w:id="12" w:name="OLE_LINK23"/>
      <w:bookmarkEnd w:id="11"/>
      <w:bookmarkEnd w:id="12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Общий объем расходов местного бюджета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определен на уровне </w:t>
      </w:r>
      <w:r>
        <w:rPr>
          <w:rFonts w:cs="Times New Roman" w:ascii="Times New Roman" w:hAnsi="Times New Roman"/>
          <w:sz w:val="24"/>
          <w:szCs w:val="24"/>
        </w:rPr>
        <w:t>13 314 999,28</w:t>
      </w:r>
      <w:r>
        <w:rPr>
          <w:rFonts w:cs="Times New Roman" w:ascii="Times New Roman" w:hAnsi="Times New Roman"/>
          <w:sz w:val="24"/>
          <w:szCs w:val="24"/>
        </w:rPr>
        <w:t xml:space="preserve"> рублей, на плановый период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</w:t>
      </w:r>
      <w:r>
        <w:rPr>
          <w:rFonts w:cs="Times New Roman" w:ascii="Times New Roman" w:hAnsi="Times New Roman"/>
          <w:sz w:val="24"/>
          <w:szCs w:val="24"/>
        </w:rPr>
        <w:t>12 119 205,42</w:t>
      </w:r>
      <w:r>
        <w:rPr>
          <w:rFonts w:cs="Times New Roman" w:ascii="Times New Roman" w:hAnsi="Times New Roman"/>
          <w:sz w:val="24"/>
          <w:szCs w:val="24"/>
        </w:rPr>
        <w:t xml:space="preserve">  рублей,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 1</w:t>
      </w:r>
      <w:r>
        <w:rPr>
          <w:rFonts w:cs="Times New Roman" w:ascii="Times New Roman" w:hAnsi="Times New Roman"/>
          <w:sz w:val="24"/>
          <w:szCs w:val="24"/>
        </w:rPr>
        <w:t xml:space="preserve">2 401 982,94 </w:t>
      </w:r>
      <w:r>
        <w:rPr>
          <w:rFonts w:cs="Times New Roman" w:ascii="Times New Roman" w:hAnsi="Times New Roman"/>
          <w:sz w:val="24"/>
          <w:szCs w:val="24"/>
        </w:rPr>
        <w:t xml:space="preserve">рублей без учета условно утверждаемых расходов.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Расходы местного бюджета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</w:t>
      </w:r>
      <w:r>
        <w:rPr>
          <w:rFonts w:cs="Times New Roman" w:ascii="Times New Roman" w:hAnsi="Times New Roman"/>
          <w:sz w:val="24"/>
          <w:szCs w:val="24"/>
        </w:rPr>
        <w:t xml:space="preserve"> в сравнении с 2024 годом </w:t>
      </w:r>
      <w:r>
        <w:rPr>
          <w:rFonts w:cs="Times New Roman" w:ascii="Times New Roman" w:hAnsi="Times New Roman"/>
          <w:sz w:val="24"/>
          <w:szCs w:val="24"/>
        </w:rPr>
        <w:t>по разделам представлены в следующей таблице</w:t>
      </w:r>
    </w:p>
    <w:tbl>
      <w:tblPr>
        <w:tblStyle w:val="af3"/>
        <w:tblW w:w="10034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15"/>
        <w:gridCol w:w="1192"/>
        <w:gridCol w:w="1126"/>
        <w:gridCol w:w="1080"/>
        <w:gridCol w:w="679"/>
        <w:gridCol w:w="624"/>
        <w:gridCol w:w="1080"/>
        <w:gridCol w:w="735"/>
        <w:gridCol w:w="1080"/>
        <w:gridCol w:w="623"/>
      </w:tblGrid>
      <w:tr>
        <w:trPr/>
        <w:tc>
          <w:tcPr>
            <w:tcW w:w="1815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наименование показателей</w:t>
            </w:r>
          </w:p>
        </w:tc>
        <w:tc>
          <w:tcPr>
            <w:tcW w:w="2318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Утверждено 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  <w:tc>
          <w:tcPr>
            <w:tcW w:w="5901" w:type="dxa"/>
            <w:gridSpan w:val="7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Предусмотрено проектом решения</w:t>
            </w:r>
          </w:p>
        </w:tc>
      </w:tr>
      <w:tr>
        <w:trPr/>
        <w:tc>
          <w:tcPr>
            <w:tcW w:w="181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92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первоначальная редакция, рублей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(решение Совета 07.12.2023 №58)</w:t>
            </w:r>
          </w:p>
        </w:tc>
        <w:tc>
          <w:tcPr>
            <w:tcW w:w="1126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с учетом изменений (ред. от 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.09.202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г) рублей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2383" w:type="dxa"/>
            <w:gridSpan w:val="3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  <w:tc>
          <w:tcPr>
            <w:tcW w:w="1815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  <w:tc>
          <w:tcPr>
            <w:tcW w:w="1703" w:type="dxa"/>
            <w:gridSpan w:val="2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на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</w:t>
            </w:r>
          </w:p>
        </w:tc>
      </w:tr>
      <w:tr>
        <w:trPr>
          <w:trHeight w:val="746" w:hRule="atLeast"/>
        </w:trPr>
        <w:tc>
          <w:tcPr>
            <w:tcW w:w="181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9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1080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67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 к первоначальной редакции</w:t>
            </w:r>
          </w:p>
        </w:tc>
        <w:tc>
          <w:tcPr>
            <w:tcW w:w="624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%с учетом изменений</w:t>
            </w:r>
          </w:p>
        </w:tc>
        <w:tc>
          <w:tcPr>
            <w:tcW w:w="1080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73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5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</w:t>
            </w:r>
          </w:p>
        </w:tc>
        <w:tc>
          <w:tcPr>
            <w:tcW w:w="1080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рублей</w:t>
            </w:r>
          </w:p>
        </w:tc>
        <w:tc>
          <w:tcPr>
            <w:tcW w:w="62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отношение к 202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6</w:t>
            </w:r>
            <w:r>
              <w:rPr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 xml:space="preserve"> году, %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01.00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7 204 230,00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9 181 247,38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8 145 576,84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113,07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88,72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6 965 348,98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85,51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6 669 747,50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95,76</w:t>
            </w:r>
          </w:p>
        </w:tc>
      </w:tr>
      <w:tr>
        <w:trPr>
          <w:trHeight w:val="274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58,32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56,29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61,18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57,47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53,77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02.00. Национальная оборона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-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171 588,00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191 370,00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111,53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210 450,00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109,97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218 370,00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103,76</w:t>
            </w:r>
          </w:p>
        </w:tc>
      </w:tr>
      <w:tr>
        <w:trPr>
          <w:trHeight w:val="348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1,05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1,44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1,74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1,76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03.00.Национальная безопасность и правоохранительная деятельность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200 000,00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300 000,00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212 000,00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106,00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70,67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322 000,00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151,89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322 000,000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</w:tr>
      <w:tr>
        <w:trPr>
          <w:trHeight w:val="305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1,62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1,84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1,59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2,66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2,60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04.00.Национальная экономика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1 435 069,00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1 877 337,00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1 640 303,00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114,30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87,37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1 609 677,00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98,13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2 033 816,00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126,35</w:t>
            </w:r>
          </w:p>
        </w:tc>
      </w:tr>
      <w:tr>
        <w:trPr>
          <w:trHeight w:val="396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11,62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11,51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12,31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13,28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16,40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05.00. Жилищно-коммунальное хозяйство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389 980,00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1 500 156,00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244 700,00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62,75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16,31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119 230,00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48,72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133 340,00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111,83</w:t>
            </w:r>
          </w:p>
        </w:tc>
      </w:tr>
      <w:tr>
        <w:trPr>
          <w:trHeight w:val="279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3,16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9,20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1,84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0,98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1,08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07.00. Образование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4 000,00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16 000,00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25 000,00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625,00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156,25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35 000,00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140,00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35 000,00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</w:tr>
      <w:tr>
        <w:trPr>
          <w:trHeight w:val="289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0,03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0,10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0,19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0,29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0,28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08.00. Культура, кинематография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2 641 080,00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2 798 080,00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2 640 690,00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99,99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94,38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2 747 140,00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104,03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2 879 350,00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104,81</w:t>
            </w:r>
          </w:p>
        </w:tc>
      </w:tr>
      <w:tr>
        <w:trPr>
          <w:trHeight w:val="289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21,38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17,15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19,83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22,67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23,22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10.00 Социальная политика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94 985,16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104 985,16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110 359,44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116,19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105,12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110 359,44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110 359,44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100,00</w:t>
            </w:r>
          </w:p>
        </w:tc>
      </w:tr>
      <w:tr>
        <w:trPr>
          <w:trHeight w:val="338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0,77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0,64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0,83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0,91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0,89</w:t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11.00 Физическая культура и спорт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382 553,36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362 053,36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105 000,00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27,45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29,00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181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i/>
                <w:iCs/>
                <w:position w:val="0"/>
                <w:sz w:val="14"/>
                <w:sz w:val="14"/>
                <w:szCs w:val="14"/>
                <w:vertAlign w:val="baseline"/>
              </w:rPr>
              <w:t>уд.вес, %</w:t>
            </w:r>
          </w:p>
        </w:tc>
        <w:tc>
          <w:tcPr>
            <w:tcW w:w="1192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3,10</w:t>
            </w:r>
          </w:p>
        </w:tc>
        <w:tc>
          <w:tcPr>
            <w:tcW w:w="112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2,22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0,79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624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--</w:t>
            </w:r>
          </w:p>
        </w:tc>
        <w:tc>
          <w:tcPr>
            <w:tcW w:w="735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r>
          </w:p>
        </w:tc>
        <w:tc>
          <w:tcPr>
            <w:tcW w:w="623" w:type="dxa"/>
            <w:tcBorders>
              <w:top w:val="nil"/>
            </w:tcBorders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181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eastAsia="ru-RU" w:bidi="ar-SA"/>
              </w:rPr>
              <w:t>ВСЕГО</w:t>
            </w:r>
          </w:p>
        </w:tc>
        <w:tc>
          <w:tcPr>
            <w:tcW w:w="1192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kern w:val="0"/>
                <w:position w:val="0"/>
                <w:sz w:val="14"/>
                <w:sz w:val="14"/>
                <w:szCs w:val="14"/>
                <w:vertAlign w:val="baseline"/>
                <w:lang w:val="ru-RU" w:bidi="ar-SA"/>
              </w:rPr>
              <w:t>12 351 897,52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16 311 446,90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13 314 999,28</w:t>
            </w:r>
          </w:p>
        </w:tc>
        <w:tc>
          <w:tcPr>
            <w:tcW w:w="679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107,80</w:t>
            </w:r>
          </w:p>
        </w:tc>
        <w:tc>
          <w:tcPr>
            <w:tcW w:w="624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81,63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12 119 205,42</w:t>
            </w:r>
          </w:p>
        </w:tc>
        <w:tc>
          <w:tcPr>
            <w:tcW w:w="735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91,02</w:t>
            </w:r>
          </w:p>
        </w:tc>
        <w:tc>
          <w:tcPr>
            <w:tcW w:w="1080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12 401 982,94</w:t>
            </w:r>
          </w:p>
        </w:tc>
        <w:tc>
          <w:tcPr>
            <w:tcW w:w="623" w:type="dxa"/>
            <w:tcBorders/>
            <w:vAlign w:val="center"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14"/>
                <w:sz w:val="14"/>
                <w:szCs w:val="14"/>
                <w:vertAlign w:val="baseline"/>
              </w:rPr>
              <w:t>102,33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Бюджетные ассигнования на исполнение принятых обязательств в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году в сравнении с утвержденным бюджетом </w:t>
      </w:r>
      <w:r>
        <w:rPr>
          <w:rFonts w:cs="Times New Roman" w:ascii="Times New Roman" w:hAnsi="Times New Roman"/>
          <w:sz w:val="24"/>
          <w:szCs w:val="24"/>
        </w:rPr>
        <w:t xml:space="preserve">в первоначальной редакции (сопоставимые условия) </w:t>
      </w:r>
      <w:r>
        <w:rPr>
          <w:rFonts w:cs="Times New Roman" w:ascii="Times New Roman" w:hAnsi="Times New Roman"/>
          <w:sz w:val="24"/>
          <w:szCs w:val="24"/>
        </w:rPr>
        <w:t>на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 запланированы с ростом к  первоначальной редакцией бюджета на </w:t>
      </w:r>
      <w:r>
        <w:rPr>
          <w:rFonts w:cs="Times New Roman" w:ascii="Times New Roman" w:hAnsi="Times New Roman"/>
          <w:sz w:val="24"/>
          <w:szCs w:val="24"/>
        </w:rPr>
        <w:t>7,80</w:t>
      </w:r>
      <w:r>
        <w:rPr>
          <w:rFonts w:cs="Times New Roman" w:ascii="Times New Roman" w:hAnsi="Times New Roman"/>
          <w:sz w:val="24"/>
          <w:szCs w:val="24"/>
        </w:rPr>
        <w:t xml:space="preserve">% и снижением к уточненной редакции на </w:t>
      </w:r>
      <w:r>
        <w:rPr>
          <w:rFonts w:cs="Times New Roman" w:ascii="Times New Roman" w:hAnsi="Times New Roman"/>
          <w:sz w:val="24"/>
          <w:szCs w:val="24"/>
        </w:rPr>
        <w:t>18,37</w:t>
      </w:r>
      <w:r>
        <w:rPr>
          <w:rFonts w:cs="Times New Roman" w:ascii="Times New Roman" w:hAnsi="Times New Roman"/>
          <w:sz w:val="24"/>
          <w:szCs w:val="24"/>
        </w:rPr>
        <w:t>%,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года спланирован в объеме ниже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на 8,</w:t>
      </w:r>
      <w:r>
        <w:rPr>
          <w:rFonts w:cs="Times New Roman" w:ascii="Times New Roman" w:hAnsi="Times New Roman"/>
          <w:sz w:val="24"/>
          <w:szCs w:val="24"/>
        </w:rPr>
        <w:t>98</w:t>
      </w:r>
      <w:r>
        <w:rPr>
          <w:rFonts w:cs="Times New Roman" w:ascii="Times New Roman" w:hAnsi="Times New Roman"/>
          <w:sz w:val="24"/>
          <w:szCs w:val="24"/>
        </w:rPr>
        <w:t>%, в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году с ростом к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году на </w:t>
      </w:r>
      <w:r>
        <w:rPr>
          <w:rFonts w:cs="Times New Roman" w:ascii="Times New Roman" w:hAnsi="Times New Roman"/>
          <w:sz w:val="24"/>
          <w:szCs w:val="24"/>
        </w:rPr>
        <w:t>2,33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Структура расходов не изменилась, как и в текущем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году наибольший удельный (более 50%) в общей структуре расходов очередном финансовом году и плановом периоде занимает раздел «Общегосударственные расходы».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Расходы на социально-культурную сферу (образование, культура и кинематография, социальная политика, физическая культура и спорт) в структуре бюджета поселения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занимают </w:t>
      </w:r>
      <w:r>
        <w:rPr>
          <w:rFonts w:cs="Times New Roman" w:ascii="Times New Roman" w:hAnsi="Times New Roman"/>
          <w:sz w:val="24"/>
          <w:szCs w:val="24"/>
        </w:rPr>
        <w:t>21,64</w:t>
      </w:r>
      <w:r>
        <w:rPr>
          <w:rFonts w:cs="Times New Roman" w:ascii="Times New Roman" w:hAnsi="Times New Roman"/>
          <w:sz w:val="24"/>
          <w:szCs w:val="24"/>
        </w:rPr>
        <w:t xml:space="preserve">%, </w:t>
      </w:r>
      <w:r>
        <w:rPr>
          <w:rFonts w:cs="Times New Roman" w:ascii="Times New Roman" w:hAnsi="Times New Roman"/>
          <w:sz w:val="24"/>
          <w:szCs w:val="24"/>
        </w:rPr>
        <w:t>на плановый период 2026 и 2027 годов  соответственно 23,87% и 24,39%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разделу </w:t>
      </w:r>
      <w:r>
        <w:rPr>
          <w:rFonts w:cs="Times New Roman" w:ascii="Times New Roman" w:hAnsi="Times New Roman"/>
          <w:b/>
          <w:sz w:val="24"/>
          <w:szCs w:val="24"/>
        </w:rPr>
        <w:t>«Общегосударственные расходы»</w:t>
      </w:r>
      <w:r>
        <w:rPr>
          <w:rFonts w:cs="Times New Roman" w:ascii="Times New Roman" w:hAnsi="Times New Roman"/>
          <w:sz w:val="24"/>
          <w:szCs w:val="24"/>
        </w:rPr>
        <w:t xml:space="preserve">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предусмотрен объем </w:t>
      </w:r>
      <w:r>
        <w:rPr>
          <w:rFonts w:cs="Times New Roman" w:ascii="Times New Roman" w:hAnsi="Times New Roman"/>
          <w:sz w:val="24"/>
          <w:szCs w:val="24"/>
        </w:rPr>
        <w:t>8 145 576,84</w:t>
      </w:r>
      <w:r>
        <w:rPr>
          <w:rFonts w:cs="Times New Roman" w:ascii="Times New Roman" w:hAnsi="Times New Roman"/>
          <w:sz w:val="24"/>
          <w:szCs w:val="24"/>
        </w:rPr>
        <w:t xml:space="preserve"> рублей (</w:t>
      </w:r>
      <w:r>
        <w:rPr>
          <w:rFonts w:cs="Times New Roman" w:ascii="Times New Roman" w:hAnsi="Times New Roman"/>
          <w:sz w:val="24"/>
          <w:szCs w:val="24"/>
        </w:rPr>
        <w:t>61,18</w:t>
      </w:r>
      <w:r>
        <w:rPr>
          <w:rFonts w:cs="Times New Roman" w:ascii="Times New Roman" w:hAnsi="Times New Roman"/>
          <w:sz w:val="24"/>
          <w:szCs w:val="24"/>
        </w:rPr>
        <w:t xml:space="preserve">% в структуре расходов) с ростом к уровню  </w:t>
      </w:r>
      <w:r>
        <w:rPr>
          <w:rFonts w:cs="Times New Roman" w:ascii="Times New Roman" w:hAnsi="Times New Roman"/>
          <w:sz w:val="24"/>
          <w:szCs w:val="24"/>
        </w:rPr>
        <w:t xml:space="preserve">первоначальной редакции </w:t>
      </w:r>
      <w:r>
        <w:rPr>
          <w:rFonts w:cs="Times New Roman" w:ascii="Times New Roman" w:hAnsi="Times New Roman"/>
          <w:sz w:val="24"/>
          <w:szCs w:val="24"/>
        </w:rPr>
        <w:t>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13,07</w:t>
      </w:r>
      <w:r>
        <w:rPr>
          <w:rFonts w:cs="Times New Roman" w:ascii="Times New Roman" w:hAnsi="Times New Roman"/>
          <w:sz w:val="24"/>
          <w:szCs w:val="24"/>
        </w:rPr>
        <w:t xml:space="preserve">% </w:t>
      </w:r>
      <w:r>
        <w:rPr>
          <w:rFonts w:cs="Times New Roman" w:ascii="Times New Roman" w:hAnsi="Times New Roman"/>
          <w:sz w:val="24"/>
          <w:szCs w:val="24"/>
        </w:rPr>
        <w:t>и снижением к уровню уточненой редакции бюджета на 11,28%</w:t>
      </w:r>
      <w:r>
        <w:rPr>
          <w:rFonts w:cs="Times New Roman" w:ascii="Times New Roman" w:hAnsi="Times New Roman"/>
          <w:sz w:val="24"/>
          <w:szCs w:val="24"/>
        </w:rPr>
        <w:t>, на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 в сумме </w:t>
      </w:r>
      <w:r>
        <w:rPr>
          <w:rFonts w:cs="Times New Roman" w:ascii="Times New Roman" w:hAnsi="Times New Roman"/>
          <w:sz w:val="24"/>
          <w:szCs w:val="24"/>
        </w:rPr>
        <w:t>6 965 348,98</w:t>
      </w:r>
      <w:r>
        <w:rPr>
          <w:rFonts w:cs="Times New Roman" w:ascii="Times New Roman" w:hAnsi="Times New Roman"/>
          <w:sz w:val="24"/>
          <w:szCs w:val="24"/>
        </w:rPr>
        <w:t xml:space="preserve"> рублей  (5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7% в структуре расходов) со снижением к уровню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14,49</w:t>
      </w:r>
      <w:r>
        <w:rPr>
          <w:rFonts w:cs="Times New Roman" w:ascii="Times New Roman" w:hAnsi="Times New Roman"/>
          <w:sz w:val="24"/>
          <w:szCs w:val="24"/>
        </w:rPr>
        <w:t>%, на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 в сумме </w:t>
      </w:r>
      <w:r>
        <w:rPr>
          <w:rFonts w:cs="Times New Roman" w:ascii="Times New Roman" w:hAnsi="Times New Roman"/>
          <w:sz w:val="24"/>
          <w:szCs w:val="24"/>
        </w:rPr>
        <w:t>6 669 747,50</w:t>
      </w:r>
      <w:r>
        <w:rPr>
          <w:rFonts w:cs="Times New Roman" w:ascii="Times New Roman" w:hAnsi="Times New Roman"/>
          <w:sz w:val="24"/>
          <w:szCs w:val="24"/>
        </w:rPr>
        <w:t xml:space="preserve"> рублей (</w:t>
      </w:r>
      <w:r>
        <w:rPr>
          <w:rFonts w:cs="Times New Roman" w:ascii="Times New Roman" w:hAnsi="Times New Roman"/>
          <w:sz w:val="24"/>
          <w:szCs w:val="24"/>
        </w:rPr>
        <w:t>53,77</w:t>
      </w:r>
      <w:r>
        <w:rPr>
          <w:rFonts w:cs="Times New Roman" w:ascii="Times New Roman" w:hAnsi="Times New Roman"/>
          <w:sz w:val="24"/>
          <w:szCs w:val="24"/>
        </w:rPr>
        <w:t>% в структуре расходов) со снижением к уровню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4,24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Средства предусмотрены по подразделу </w:t>
      </w:r>
      <w:r>
        <w:rPr>
          <w:rFonts w:cs="Times New Roman" w:ascii="Times New Roman" w:hAnsi="Times New Roman"/>
          <w:i/>
          <w:sz w:val="24"/>
          <w:szCs w:val="24"/>
        </w:rPr>
        <w:t>«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cs="Times New Roman" w:ascii="Times New Roman" w:hAnsi="Times New Roman"/>
          <w:i/>
          <w:sz w:val="24"/>
          <w:szCs w:val="24"/>
        </w:rPr>
        <w:t xml:space="preserve">»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на 2025 год всумме 1 694 849,92 рублей, на плановый период 2026 и 2027 годов в сумме 1 101 457,89 рублей и 821 082,41 рублей, с целью обеспечения полномочий главы поселения.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0"/>
        <w:ind w:hanging="0"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По подразделу </w:t>
      </w:r>
      <w:r>
        <w:rPr>
          <w:rFonts w:cs="Times New Roman" w:ascii="Times New Roman" w:hAnsi="Times New Roman"/>
          <w:i/>
          <w:sz w:val="24"/>
          <w:szCs w:val="24"/>
        </w:rPr>
        <w:t>«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rFonts w:cs="Times New Roman" w:ascii="Times New Roman" w:hAnsi="Times New Roman"/>
          <w:i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с целью обеспечения полномочий администрации поселения в сумме </w:t>
      </w:r>
      <w:r>
        <w:rPr>
          <w:rFonts w:cs="Times New Roman" w:ascii="Times New Roman" w:hAnsi="Times New Roman"/>
          <w:sz w:val="24"/>
          <w:szCs w:val="24"/>
        </w:rPr>
        <w:t>1 672 146,83</w:t>
      </w:r>
      <w:r>
        <w:rPr>
          <w:rFonts w:cs="Times New Roman" w:ascii="Times New Roman" w:hAnsi="Times New Roman"/>
          <w:sz w:val="24"/>
          <w:szCs w:val="24"/>
        </w:rPr>
        <w:t xml:space="preserve"> рублей в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году, в сумме </w:t>
      </w:r>
      <w:r>
        <w:rPr>
          <w:rFonts w:cs="Times New Roman" w:ascii="Times New Roman" w:hAnsi="Times New Roman"/>
          <w:sz w:val="24"/>
          <w:szCs w:val="24"/>
        </w:rPr>
        <w:t>1 265 154,66</w:t>
      </w:r>
      <w:r>
        <w:rPr>
          <w:rFonts w:cs="Times New Roman" w:ascii="Times New Roman" w:hAnsi="Times New Roman"/>
          <w:sz w:val="24"/>
          <w:szCs w:val="24"/>
        </w:rPr>
        <w:t xml:space="preserve"> рублей в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году, в сумме </w:t>
      </w:r>
      <w:r>
        <w:rPr>
          <w:rFonts w:cs="Times New Roman" w:ascii="Times New Roman" w:hAnsi="Times New Roman"/>
          <w:sz w:val="24"/>
          <w:szCs w:val="24"/>
        </w:rPr>
        <w:t>1 240 068,66</w:t>
      </w:r>
      <w:r>
        <w:rPr>
          <w:rFonts w:cs="Times New Roman" w:ascii="Times New Roman" w:hAnsi="Times New Roman"/>
          <w:sz w:val="24"/>
          <w:szCs w:val="24"/>
        </w:rPr>
        <w:t xml:space="preserve"> рублей, </w:t>
      </w:r>
      <w:r>
        <w:rPr>
          <w:rFonts w:cs="Times New Roman" w:ascii="Times New Roman" w:hAnsi="Times New Roman"/>
          <w:sz w:val="24"/>
          <w:szCs w:val="24"/>
        </w:rPr>
        <w:t xml:space="preserve">в рамках подпрограммы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"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Муниципальное управление, управление муниципальным имуществом Соловьевского сельского поселения".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целях финансового</w:t>
      </w:r>
      <w:r>
        <w:rPr>
          <w:rFonts w:cs="Times New Roman" w:ascii="Times New Roman" w:hAnsi="Times New Roman"/>
          <w:sz w:val="24"/>
          <w:szCs w:val="24"/>
        </w:rPr>
        <w:t xml:space="preserve"> обеспечения непредвиденных расходов по подразделу </w:t>
      </w:r>
      <w:r>
        <w:rPr>
          <w:rFonts w:cs="Times New Roman" w:ascii="Times New Roman" w:hAnsi="Times New Roman"/>
          <w:i/>
          <w:sz w:val="24"/>
          <w:szCs w:val="24"/>
        </w:rPr>
        <w:t>"Резервные фонды"</w:t>
      </w:r>
      <w:r>
        <w:rPr>
          <w:rFonts w:cs="Times New Roman" w:ascii="Times New Roman" w:hAnsi="Times New Roman"/>
          <w:sz w:val="24"/>
          <w:szCs w:val="24"/>
        </w:rPr>
        <w:t xml:space="preserve"> предусматривается формирование резервного фонда Администрации Соловьевского сельского поселения Полтавского муниципального района в объеме 20 000,00 рублей ежегодно.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подразделу </w:t>
      </w:r>
      <w:r>
        <w:rPr>
          <w:rFonts w:cs="Times New Roman" w:ascii="Times New Roman" w:hAnsi="Times New Roman"/>
          <w:i/>
          <w:sz w:val="24"/>
          <w:szCs w:val="24"/>
        </w:rPr>
        <w:t>«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Другие общегосударственные вопросы</w:t>
      </w:r>
      <w:r>
        <w:rPr>
          <w:rFonts w:cs="Times New Roman" w:ascii="Times New Roman" w:hAnsi="Times New Roman"/>
          <w:i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в рамках п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одпрограммы "Муниципальное управление, управление муниципальным имуществом Соловьевского сельского поселения" предусмотрено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4 758 580,09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рублей,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4 578 736,43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рублей,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4 588 596,43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для содержания муниципального имущества; хозяйственного обеспечения деятельности органов местного самоуправления Соловьевского сельского поселения.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«Национальная оборона»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на 2025 год запланировано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191 370,00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(в структуре расходов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1,44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%) с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ростом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к уточненной редакции 2024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11,53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%. В плановом периоде 2026 года предусмотрены средства в объеме 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10 450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,00 рублей (в структуре расходов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1,74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%) с ростом к уровню 2025 года в 9,97 раза, в 2027 году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218 370,00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(в структуре расходов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1,76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%) с ростом к уровню 2026 года в 3,76%. Средства предусмотрены </w:t>
      </w:r>
      <w:r>
        <w:rPr>
          <w:rFonts w:eastAsia="Noto Sans CJK SC"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6"/>
          <w:szCs w:val="24"/>
          <w:u w:val="none"/>
          <w:em w:val="none"/>
        </w:rPr>
        <w:t>для осуществления первичного воинского учета.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Бюджетные ассигнования по разделу «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Национальная безопасность и правоохранительная деятельность»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в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году в сумме 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 000,00 рублей (1,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в структуре расходов) с ростом к первоначальной редакции бюджета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%, в плановом периоде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6 года в сумме 322 000,00 рублей (2,66% в структуре расходов) сростом к уровню 2025 года на 51,89%, в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у запланированы средства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на уровне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года. Средства предусмотрены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«Защита населения и территории от чрезвычайных ситуаций природного и техногенного характера, пожарная безопасность»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"Предупреждение чрезвычайных ситуаций и обеспечение пожарной безопасности в Соловьевском сельском поселении" на обеспечение пожарной безопасности.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«Национальная экономика»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объеме 1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640 303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(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12,31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 в структуре расходов) с ростом к первоначальной редакции бюджета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14,30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и со снижением к уровню уточненной редакции бюджета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12,63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%, в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году в сумме 1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609 677,00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со снижением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1,87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и в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году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2 033 816,00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с ростом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6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26,35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%. 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Средства предусмотрены ежегодно в сумме 54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033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,00 рублей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«Общеэкономические вопросы»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"Содействие занятости населения Соловьевского сельского поселения" на 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Соловьевского сельского поселения. 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«Дорожное хозяйство (дорожные фонды)»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сумме 1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578 270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год, в сумме  1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527 644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год, в сумме 1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951 783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7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год. Средства предусмотрены в рамках подпрограммы "Поддержка ЖКХ и развитие транспортной инфраструктуры Соловьевского сельского поселения" на содержание внутрипоселковых автомобильных дорог и сооружений на них; капитальный ремонт и ремонт внутрипоселковых автомобильных дорог и сооружений на них.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В рамках подраздела «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Другие вопросы в области национальной экономики»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по подпрограмме "Муниципальное управление, управление муниципальным имуществом Соловьевского сельского поселения" на кадастровые работы в отношении объектов недвижимости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8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 000,00 рублей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на 2025 год и на плановый период 2026 и 2027 годов в сумме 28 000,00 рублей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ежегодно.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«Жилищно-коммунальное хозяйство»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244 700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(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1,84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в структуре расходов) со снижением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к первоначальной и уточненной редакции бюджета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37,25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 и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83,69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 соответственно. Средства предусмотрены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«Благоустройство».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Исполнение расходных обязательств планируется в рамках подпрограммы "Поддержка ЖКХ и развитие транспортной инфраструктуры Соловьевского сельского поселения" для содержания и реконструкции объектов уличного освещения; озеленения территории сельского поселения; содержания мест захоронения; прочих работ по благоустройству; исполнения мероприятий по борьбе с наркосодержащими растениями. В рамках подпрограммы  "Энергосбережение в Соловьевском сельском поселении"  с целью исполнения мероприятий по повышению эффективности системы электроснабжения.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«Образование»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 000,00 рублей (0,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в структуре расходов) с ростом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в 6 раз к первоначальной редакции бюджета и на 56,25% к уточненной редакции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 в плановом периоде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 году в сумме 35 000,00 рублей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(0,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 в структуре расходов)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с ростом на 40,00% к уровню 2025 года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в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у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на уровне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года. Расходование средств предусмотрено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«Молодежная политика»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по подпрограмме «Развитие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области» на организацию оздоровления, отдыха несовершеннолетних и молодежи; проведение мероприятий по профилактике и предотвращению правонарушений, распространения наркомании и других социально-вредных явлений среди молодежи, мероприятий по гражданско-патриотическому воспитанию молодежи.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«Культура, кинематография»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2 64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 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690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(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19,83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 в структуре расходов)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со снижением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к уровню первоначальной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и уточненной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редакции бюджета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на 0,01% и 5,62% соответственно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 в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году в сумме 2 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47 14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0,00 рублей (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22,69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в структуре расходов) с ростом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4,03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%, в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году в сумме 2 8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79 35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0,00 рублей (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23,22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в структуре расходов) с ростом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4,81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%. Средства предусмотрены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«Культура»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 в рамках подпрограммы «Развитие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области»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 000,00 рублей 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на 2025 год и на плановый период 2026 и 2027 годов в сумме 140 000,00 рублей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ежегодно на проведение мероприятий в сфере культуры. В рамках подпрограммы "Муниципальное управление, управление муниципальным имуществом Соловьевского сельского поселения" в сумме 2 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80 690,00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год, 2 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07 140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6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год, 2 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39 350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,00 рублей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на содержание муниципального имущества.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«Социальная политика»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«Пенсионное обеспечение»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"Социальная поддержка граждан Соловьевского сельского поселения" на выплату муниципальной пенсии за выслугу лет, служащим замещавшим муниципальные должности и должности муниципальной службы в Соловьевском сельском поселении  предусмотрены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110 359,44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(0,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83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 в структуре расходов) с ростом к уровню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 на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5,12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%. В плановом периоде исполнение расходных обязательств предусмотрено на уровне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года.</w:t>
      </w:r>
    </w:p>
    <w:p>
      <w:pPr>
        <w:pStyle w:val="Normal"/>
        <w:suppressAutoHyphens w:val="false"/>
        <w:spacing w:lineRule="auto" w:line="240" w:before="0" w:after="0"/>
        <w:ind w:firstLine="709"/>
        <w:jc w:val="both"/>
        <w:rPr>
          <w:rFonts w:ascii="Times New Roman" w:hAnsi="Times New Roman" w:eastAsia="Noto Sans CJK SC" w:cs="Times New Roman"/>
          <w:color w:val="000000"/>
          <w:sz w:val="24"/>
          <w:szCs w:val="24"/>
        </w:rPr>
      </w:pP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Бюджетные ассигнования по разделу </w:t>
      </w:r>
      <w:r>
        <w:rPr>
          <w:rFonts w:eastAsia="Noto Sans CJK SC" w:cs="Times New Roman" w:ascii="Times New Roman" w:hAnsi="Times New Roman"/>
          <w:b/>
          <w:color w:val="000000"/>
          <w:sz w:val="24"/>
          <w:szCs w:val="24"/>
        </w:rPr>
        <w:t>«Физическая культура и спорт»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предусмотрены на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105 000,00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рублей (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0,79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% в структуре расходов)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со снижением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на 72,55%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относительно первоначально утвержденного бюджета 202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года. Средства предусмотрены по подразделу </w:t>
      </w:r>
      <w:r>
        <w:rPr>
          <w:rFonts w:eastAsia="Noto Sans CJK SC" w:cs="Times New Roman" w:ascii="Times New Roman" w:hAnsi="Times New Roman"/>
          <w:i/>
          <w:color w:val="000000"/>
          <w:sz w:val="24"/>
          <w:szCs w:val="24"/>
        </w:rPr>
        <w:t>«Массовый спорт»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в рамках подпрограммы «Развитие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области» на проведение массовых спортивно-оздоровительных мероприятий, спортивно-культурных праздников; укрепление материально-технической базы учреждений в сфере физической культуры и спорта.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В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 xml:space="preserve"> плановом 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периоде средства не запланированы</w:t>
      </w:r>
      <w:r>
        <w:rPr>
          <w:rFonts w:eastAsia="Noto Sans CJK SC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Проектом решения бюджета Соловьевского сельского поселения Полтавского муниципального района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 предусмотрена реализация двух муниципальных программ.</w:t>
      </w:r>
      <w:r>
        <w:rPr>
          <w:rFonts w:eastAsia="Calibri" w:cs="Times New Roman" w:ascii="Times New Roman" w:hAnsi="Times New Roman"/>
          <w:sz w:val="24"/>
          <w:szCs w:val="24"/>
        </w:rPr>
        <w:t xml:space="preserve"> Основной целью муниципальных программ является улучшение качества жизни населения. </w:t>
      </w:r>
      <w:r>
        <w:rPr>
          <w:rFonts w:eastAsia="Calibri" w:cs="Times New Roman" w:ascii="Times New Roman" w:hAnsi="Times New Roman"/>
          <w:sz w:val="24"/>
          <w:szCs w:val="24"/>
        </w:rPr>
        <w:t>В результате проведения экспертизы установлено что ф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инансовое обеспечение предусмотренное проектами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изменений в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паспорт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а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муниципальных программ</w:t>
      </w:r>
      <w:r>
        <w:rPr>
          <w:rFonts w:eastAsia="Calibri" w:cs="Times New Roman" w:ascii="Times New Roman" w:hAnsi="Times New Roman"/>
          <w:sz w:val="24"/>
          <w:szCs w:val="24"/>
        </w:rPr>
        <w:t xml:space="preserve"> на 202</w:t>
      </w:r>
      <w:r>
        <w:rPr>
          <w:rFonts w:eastAsia="Calibri" w:cs="Times New Roman" w:ascii="Times New Roman" w:hAnsi="Times New Roman"/>
          <w:sz w:val="24"/>
          <w:szCs w:val="24"/>
        </w:rPr>
        <w:t xml:space="preserve">5 год и плановый период </w:t>
      </w:r>
      <w:r>
        <w:rPr>
          <w:rFonts w:eastAsia="Calibri" w:cs="Times New Roman" w:ascii="Times New Roman" w:hAnsi="Times New Roman"/>
          <w:sz w:val="24"/>
          <w:szCs w:val="24"/>
        </w:rPr>
        <w:t xml:space="preserve">2026 </w:t>
      </w:r>
      <w:r>
        <w:rPr>
          <w:rFonts w:eastAsia="Calibri" w:cs="Times New Roman" w:ascii="Times New Roman" w:hAnsi="Times New Roman"/>
          <w:sz w:val="24"/>
          <w:szCs w:val="24"/>
        </w:rPr>
        <w:t>и 2027</w:t>
      </w:r>
      <w:r>
        <w:rPr>
          <w:rFonts w:eastAsia="Calibri" w:cs="Times New Roman" w:ascii="Times New Roman" w:hAnsi="Times New Roman"/>
          <w:sz w:val="24"/>
          <w:szCs w:val="24"/>
        </w:rPr>
        <w:t xml:space="preserve"> год</w:t>
      </w:r>
      <w:r>
        <w:rPr>
          <w:rFonts w:eastAsia="Calibri" w:cs="Times New Roman" w:ascii="Times New Roman" w:hAnsi="Times New Roman"/>
          <w:sz w:val="24"/>
          <w:szCs w:val="24"/>
        </w:rPr>
        <w:t>ов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не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соответствует</w:t>
      </w:r>
      <w:r>
        <w:rPr>
          <w:rFonts w:eastAsia="Calibri" w:cs="Times New Roman" w:ascii="Times New Roman" w:hAnsi="Times New Roman"/>
          <w:sz w:val="24"/>
          <w:szCs w:val="24"/>
        </w:rPr>
        <w:t xml:space="preserve"> объемам запланированным проектом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Heading1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b w:val="false"/>
        </w:rPr>
        <w:t xml:space="preserve"> </w:t>
      </w:r>
      <w:r>
        <w:rPr>
          <w:sz w:val="24"/>
          <w:szCs w:val="24"/>
        </w:rPr>
        <w:t>Источники финансирования дефицита бюджета поселения в 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году и плановом периоде 202</w:t>
      </w:r>
      <w:r>
        <w:rPr>
          <w:sz w:val="24"/>
          <w:szCs w:val="24"/>
        </w:rPr>
        <w:t>6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 годов </w:t>
      </w:r>
    </w:p>
    <w:p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Одним из основных направлений долговой политики </w:t>
      </w:r>
      <w:r>
        <w:rPr>
          <w:rFonts w:eastAsia="Calibri" w:ascii="Times New Roman" w:hAnsi="Times New Roman" w:eastAsiaTheme="minorHAnsi"/>
          <w:sz w:val="24"/>
          <w:szCs w:val="24"/>
          <w:lang w:eastAsia="en-US"/>
        </w:rPr>
        <w:t>Соловьев</w:t>
      </w:r>
      <w:r>
        <w:rPr>
          <w:rFonts w:ascii="Times New Roman" w:hAnsi="Times New Roman"/>
          <w:sz w:val="24"/>
          <w:szCs w:val="24"/>
        </w:rPr>
        <w:t xml:space="preserve">ского сельского поселения является недопущение муниципального долга </w:t>
      </w:r>
      <w:r>
        <w:rPr>
          <w:rFonts w:eastAsia="Calibri" w:ascii="Times New Roman" w:hAnsi="Times New Roman" w:eastAsiaTheme="minorHAnsi"/>
          <w:sz w:val="24"/>
          <w:szCs w:val="24"/>
          <w:lang w:eastAsia="en-US"/>
        </w:rPr>
        <w:t>Соловьев</w:t>
      </w:r>
      <w:r>
        <w:rPr>
          <w:rFonts w:ascii="Times New Roman" w:hAnsi="Times New Roman"/>
          <w:sz w:val="24"/>
          <w:szCs w:val="24"/>
        </w:rPr>
        <w:t>ского сельского поселения Полтавского муниципального района.  По состоянию на 01.10.202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муниципальный долг в поселении отсутствует.</w:t>
      </w:r>
    </w:p>
    <w:p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бюджета а </w:t>
      </w:r>
      <w:r>
        <w:rPr>
          <w:rFonts w:cs="Times New Roman" w:ascii="Times New Roman" w:hAnsi="Times New Roman"/>
          <w:sz w:val="24"/>
          <w:szCs w:val="24"/>
        </w:rPr>
        <w:t>2025 год и плановый период 2026 и 2027</w:t>
      </w:r>
      <w:r>
        <w:rPr>
          <w:rFonts w:ascii="Times New Roman" w:hAnsi="Times New Roman"/>
          <w:sz w:val="24"/>
          <w:szCs w:val="24"/>
        </w:rPr>
        <w:t xml:space="preserve"> годов сформирован сбалансированный.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</w:t>
      </w:r>
      <w:r>
        <w:rPr>
          <w:rFonts w:cs="Times New Roman" w:ascii="Times New Roman" w:hAnsi="Times New Roman"/>
          <w:b/>
          <w:sz w:val="24"/>
          <w:szCs w:val="24"/>
        </w:rPr>
        <w:t>Выводы и предложения.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1.Проект бюджета Соловьевского сельского поселения Полтавского муниципального района на 2025 год и плановый период 2026 и 2027 годов внесен распоряжением администрации  Соловьевского сельского поселения Полтавского муниципального района на рассмотрение в представительный орган своевременно.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2.Представленный проект  бюджета соответствует требованиям статьям 184.1 и 184.2 Бюджетного Кодекса Российской Федерации в части полноты самого проекта решения, а также документов и материалов, предоставляемых в Совет одновременно с ними. однако в результате проверки </w:t>
      </w:r>
      <w:r>
        <w:rPr>
          <w:rFonts w:cs="Times New Roman" w:ascii="Times New Roman" w:hAnsi="Times New Roman"/>
          <w:b/>
          <w:bCs/>
          <w:sz w:val="24"/>
          <w:szCs w:val="24"/>
        </w:rPr>
        <w:t>установлены нарушения и недостатки в содержании</w:t>
      </w:r>
      <w:r>
        <w:rPr>
          <w:rFonts w:cs="Times New Roman" w:ascii="Times New Roman" w:hAnsi="Times New Roman"/>
          <w:sz w:val="24"/>
          <w:szCs w:val="24"/>
        </w:rPr>
        <w:t xml:space="preserve"> документов представляемых одновременно с проектом бюджета: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 нарушение статьи 172 Бюджетного кодекса РФ Пояснительная записка к проекту бюджета не содержит информации что составление проекта бюджета осуществлялось в соответствии с:</w:t>
      </w:r>
    </w:p>
    <w:p>
      <w:pPr>
        <w:pStyle w:val="Normal"/>
        <w:spacing w:lineRule="auto" w:line="276" w:before="0" w:after="29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- положениями Послания Президента Российской Федерации Федеральному Собранию Российской Федерации от 29 февраля 2024 года;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- национальными целями развития Российской Федерации на период </w:t>
        <w:br/>
        <w:t xml:space="preserve">до 2030 года и на перспективу до 2036 года, определенными </w:t>
        <w:br/>
        <w:t>Указом Президента Российской Федерации от 7 мая 2024 года № 309;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Установлены случаи несоответствия содержания Пояснительной записки к п</w:t>
      </w:r>
      <w:r>
        <w:rPr>
          <w:rFonts w:cs="Times New Roman" w:ascii="Times New Roman" w:hAnsi="Times New Roman"/>
          <w:b/>
          <w:bCs/>
          <w:sz w:val="24"/>
          <w:szCs w:val="24"/>
        </w:rPr>
        <w:t>рогнозу социально-экономического развития поселения на 2025 год и плановый период 2026 и 2027 годов  и табличной части Прогноза.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Ф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инансовое обеспечение предусмотренное проектами изменений в паспорта муниципальных программ не соответствует объемам запланированным проектом бюджета.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3.В соответствии с положениями  статьи 172 Бюджетного кодекса РФ проект бюджета основан на основных направлениях бюджетной и налоговой политики муниципального образования, прогнозе социально-экономического развития  территории, бюджетном прогнозе муниципального образования на долгосрочный период.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4.Прогноз социально-экономического развития поселения на 2025 год и плановый период 2026 и 2027 годов  одобрен в соответствии с бюджетным законодательством.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5.Основные характеристики бюджета (общий объем доходов, общий объем расходов, дефицит (профицит) бюджета) спрогнозированы  в соответствии со статьей 184.1 Бюджетного кодекса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6.При формировании проекта бюджета соблюдены ограничения, установленные Бюджетным кодексом Российской Федерации, а именно:  по размеру дефицита бюджета, объему муниципального долга и расходам на его обслуживание, предельному объему заимствований, общему объему условно утверждаемых расходов.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 своей структуре и содержанию проект  решения сформирован в соответствии с требованиями  пункта 3 статьи 184.1 Бюджетного кодекса РФ.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8. Результаты рассмотрения проекта решения в части прогнозируемых доходов на 2025 год и плановый период 2026 и 2027 годов свидетельствует о соблюдении требований бюджетного законодательства, предъявляемых к формированию бюджета (ст.174.1 БК РФ). Предусмотренные проектом решения виды налоговых и неналоговых доходов местного бюджета соответствуют перечню, установленному БК РФ.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firstLine="709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Расходная часть бюджета сформирована в соответствии с законодательно обусловленными расходными обязательствами, исполнение которых должно производиться в очередном финансовом году и плановом периоде за счет бюджетных средств. </w:t>
      </w:r>
      <w:r>
        <w:rPr>
          <w:rFonts w:cs="Times New Roman" w:ascii="Times New Roman" w:hAnsi="Times New Roman"/>
          <w:bCs/>
          <w:sz w:val="24"/>
          <w:szCs w:val="24"/>
        </w:rPr>
        <w:t>Расчет планируемых ассигнований  учитывает уровень инфляции текущего года и прогнозируемого на 2025 год, планируемую индексацию социальных выплат.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На основании изложенного Контрольно-счетный орган считает, что  проект бюджета Соловьевского сельского поселения Полтавского муниципального района  на  2025 год и плановый период 2026 и 2027 годов  </w:t>
      </w:r>
      <w:r>
        <w:rPr>
          <w:rFonts w:cs="Times New Roman" w:ascii="Times New Roman" w:hAnsi="Times New Roman"/>
          <w:b/>
          <w:bCs/>
          <w:sz w:val="24"/>
          <w:szCs w:val="24"/>
        </w:rPr>
        <w:t>в основном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соответствует  нормам бюджетного законодательства и может быть  рекомендован к принятию в первом чтении, </w:t>
      </w:r>
      <w:r>
        <w:rPr>
          <w:rFonts w:cs="Times New Roman" w:ascii="Times New Roman" w:hAnsi="Times New Roman"/>
          <w:b/>
          <w:bCs/>
          <w:sz w:val="24"/>
          <w:szCs w:val="24"/>
        </w:rPr>
        <w:t>после устранения</w:t>
      </w:r>
      <w:r>
        <w:rPr>
          <w:rFonts w:cs="Times New Roman" w:ascii="Times New Roman" w:hAnsi="Times New Roman"/>
          <w:sz w:val="24"/>
          <w:szCs w:val="24"/>
        </w:rPr>
        <w:t xml:space="preserve"> установленных в настоящем Заключении нарушений и недостатков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Председатель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Е. В. Галаган                        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33ec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link w:val="1"/>
    <w:qFormat/>
    <w:rsid w:val="00ae7e80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uiPriority w:val="99"/>
    <w:qFormat/>
    <w:rsid w:val="00e33ec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e33ec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e33ec5"/>
    <w:rPr>
      <w:rFonts w:ascii="Tahoma" w:hAnsi="Tahoma" w:cs="Tahoma"/>
      <w:sz w:val="16"/>
      <w:szCs w:val="16"/>
    </w:rPr>
  </w:style>
  <w:style w:type="character" w:styleId="Style16" w:customStyle="1">
    <w:name w:val="Основной текст с отступом Знак"/>
    <w:basedOn w:val="DefaultParagraphFont"/>
    <w:qFormat/>
    <w:rsid w:val="003b6de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34" w:customStyle="1">
    <w:name w:val="Font Style34"/>
    <w:basedOn w:val="DefaultParagraphFont"/>
    <w:qFormat/>
    <w:rsid w:val="00e91205"/>
    <w:rPr>
      <w:rFonts w:ascii="Times New Roman" w:hAnsi="Times New Roman" w:cs="Times New Roman"/>
      <w:sz w:val="26"/>
      <w:szCs w:val="26"/>
    </w:rPr>
  </w:style>
  <w:style w:type="character" w:styleId="Style17" w:customStyle="1">
    <w:name w:val="Название Знак"/>
    <w:basedOn w:val="DefaultParagraphFont"/>
    <w:qFormat/>
    <w:rsid w:val="003423d1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8" w:customStyle="1">
    <w:name w:val="Основной текст Знак"/>
    <w:basedOn w:val="DefaultParagraphFont"/>
    <w:qFormat/>
    <w:rsid w:val="00562e65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" w:customStyle="1">
    <w:name w:val="Заголовок 1 Знак"/>
    <w:basedOn w:val="DefaultParagraphFont"/>
    <w:qFormat/>
    <w:rsid w:val="00ae7e8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qFormat/>
    <w:rsid w:val="00ae7e8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Hyperlink" w:customStyle="1">
    <w:name w:val="Hyperlink"/>
    <w:rsid w:val="001e365f"/>
    <w:rPr>
      <w:color w:val="000080"/>
      <w:u w:val="single"/>
    </w:rPr>
  </w:style>
  <w:style w:type="character" w:styleId="11" w:customStyle="1">
    <w:name w:val="Заголовок 1 Знак1"/>
    <w:basedOn w:val="DefaultParagraphFont"/>
    <w:qFormat/>
    <w:rsid w:val="00e3605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Style19">
    <w:name w:val="Символ нумерации"/>
    <w:qFormat/>
    <w:rPr/>
  </w:style>
  <w:style w:type="paragraph" w:styleId="Style20" w:customStyle="1">
    <w:name w:val="Заголовок"/>
    <w:basedOn w:val="Normal"/>
    <w:next w:val="BodyText"/>
    <w:qFormat/>
    <w:rsid w:val="001e365f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62e65"/>
    <w:pPr>
      <w:spacing w:lineRule="auto" w:line="240" w:before="0" w:after="12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List">
    <w:name w:val="List"/>
    <w:basedOn w:val="BodyText"/>
    <w:rsid w:val="001e365f"/>
    <w:pPr/>
    <w:rPr>
      <w:rFonts w:cs="Lohit Devanagari"/>
    </w:rPr>
  </w:style>
  <w:style w:type="paragraph" w:styleId="Caption" w:customStyle="1">
    <w:name w:val="Caption"/>
    <w:basedOn w:val="Normal"/>
    <w:qFormat/>
    <w:rsid w:val="001e365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1e365f"/>
    <w:pPr>
      <w:suppressLineNumbers/>
    </w:pPr>
    <w:rPr>
      <w:rFonts w:cs="Lohit Devanagari"/>
    </w:rPr>
  </w:style>
  <w:style w:type="paragraph" w:styleId="Style22" w:customStyle="1">
    <w:name w:val="Верхний и нижний колонтитулы"/>
    <w:basedOn w:val="Normal"/>
    <w:qFormat/>
    <w:rsid w:val="001e365f"/>
    <w:pPr/>
    <w:rPr/>
  </w:style>
  <w:style w:type="paragraph" w:styleId="Style23">
    <w:name w:val="Колонтитул"/>
    <w:basedOn w:val="Normal"/>
    <w:qFormat/>
    <w:pPr/>
    <w:rPr/>
  </w:style>
  <w:style w:type="paragraph" w:styleId="Footer" w:customStyle="1">
    <w:name w:val="Footer"/>
    <w:basedOn w:val="Normal"/>
    <w:uiPriority w:val="99"/>
    <w:rsid w:val="00e33e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eader" w:customStyle="1">
    <w:name w:val="Header"/>
    <w:basedOn w:val="Normal"/>
    <w:uiPriority w:val="99"/>
    <w:rsid w:val="00e33e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qFormat/>
    <w:rsid w:val="00e33ec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33ec5"/>
    <w:pPr>
      <w:spacing w:before="0" w:after="200"/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e33e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b6de5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91" w:customStyle="1">
    <w:name w:val="Style9"/>
    <w:basedOn w:val="Normal"/>
    <w:qFormat/>
    <w:rsid w:val="00e91205"/>
    <w:pPr>
      <w:widowControl w:val="false"/>
      <w:spacing w:lineRule="exact" w:line="326" w:before="0" w:after="0"/>
      <w:ind w:firstLine="71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10" w:customStyle="1">
    <w:name w:val="Style1"/>
    <w:basedOn w:val="Normal"/>
    <w:qFormat/>
    <w:rsid w:val="00e91205"/>
    <w:pPr>
      <w:widowControl w:val="false"/>
      <w:spacing w:lineRule="exact" w:line="319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">
    <w:name w:val="Title"/>
    <w:basedOn w:val="Normal"/>
    <w:qFormat/>
    <w:rsid w:val="003423d1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NormalWeb">
    <w:name w:val="Normal (Web)"/>
    <w:basedOn w:val="Normal"/>
    <w:qFormat/>
    <w:rsid w:val="00d34ff8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ConsNonformat" w:customStyle="1">
    <w:name w:val="ConsNonformat"/>
    <w:qFormat/>
    <w:rsid w:val="007c2cb6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7c2cb6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3">
    <w:name w:val="Body Text Indent 3"/>
    <w:basedOn w:val="Normal"/>
    <w:qFormat/>
    <w:rsid w:val="00ae7e80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Western" w:customStyle="1">
    <w:name w:val="western"/>
    <w:basedOn w:val="Normal"/>
    <w:qFormat/>
    <w:rsid w:val="007e160b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e33ec5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29A2-9D31-42A7-9B7E-9A0E29C3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2201</TotalTime>
  <Application>LibreOffice/7.6.6.3$Linux_X86_64 LibreOffice_project/60$Build-3</Application>
  <AppVersion>15.0000</AppVersion>
  <Pages>14</Pages>
  <Words>6280</Words>
  <Characters>38006</Characters>
  <CharactersWithSpaces>43893</CharactersWithSpaces>
  <Paragraphs>728</Paragraphs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2024-11-20T18:55:00Z</dcterms:created>
  <dc:creator>Win7x32</dc:creator>
  <dc:description/>
  <dc:language>ru-RU</dc:language>
  <cp:lastModifiedBy/>
  <cp:lastPrinted>2024-11-21T17:50:07Z</cp:lastPrinted>
  <dcterms:modified xsi:type="dcterms:W3CDTF">2024-11-21T19:25:10Z</dcterms:modified>
  <cp:revision>83</cp:revision>
  <dc:subject/>
  <dc:title>"Бюджетный кодекс Российской Федерации" от 31.07.1998 N 145-ФЗ(ред. от 13.07.2024, с изм. от 30.09.2024)(с изм. и доп., вступ. в силу с 01.09.2024)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